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E0C" w:rsidRPr="00F84245" w:rsidRDefault="00910E0C" w:rsidP="00910E0C">
      <w:pPr>
        <w:spacing w:after="0" w:line="240" w:lineRule="auto"/>
        <w:rPr>
          <w:rFonts w:eastAsia="Times New Roman"/>
          <w:b/>
          <w:sz w:val="20"/>
          <w:szCs w:val="20"/>
        </w:rPr>
      </w:pPr>
      <w:r w:rsidRPr="00F84245">
        <w:rPr>
          <w:rFonts w:eastAsia="Times New Roman"/>
          <w:b/>
          <w:sz w:val="20"/>
          <w:szCs w:val="20"/>
        </w:rPr>
        <w:t>ARCHITECTURAL SPECIFICATION</w:t>
      </w:r>
    </w:p>
    <w:p w:rsidR="00910E0C" w:rsidRPr="00F84245" w:rsidRDefault="00910E0C" w:rsidP="00910E0C">
      <w:pPr>
        <w:spacing w:after="0" w:line="240" w:lineRule="auto"/>
        <w:rPr>
          <w:rFonts w:eastAsia="Times New Roman"/>
          <w:b/>
          <w:sz w:val="20"/>
          <w:szCs w:val="20"/>
        </w:rPr>
      </w:pPr>
      <w:r>
        <w:rPr>
          <w:rFonts w:eastAsia="Times New Roman"/>
          <w:b/>
          <w:sz w:val="20"/>
          <w:szCs w:val="20"/>
        </w:rPr>
        <w:t>Dual TAS12</w:t>
      </w:r>
      <w:r w:rsidR="00B01424">
        <w:rPr>
          <w:rFonts w:eastAsia="Times New Roman"/>
          <w:b/>
          <w:sz w:val="20"/>
          <w:szCs w:val="20"/>
        </w:rPr>
        <w:t>AA</w:t>
      </w:r>
      <w:r>
        <w:rPr>
          <w:rFonts w:eastAsia="Times New Roman"/>
          <w:b/>
          <w:sz w:val="20"/>
          <w:szCs w:val="20"/>
        </w:rPr>
        <w:t>-EDC</w:t>
      </w:r>
      <w:r w:rsidRPr="00F84245">
        <w:rPr>
          <w:rFonts w:eastAsia="Times New Roman"/>
          <w:b/>
          <w:sz w:val="20"/>
          <w:szCs w:val="20"/>
        </w:rPr>
        <w:t xml:space="preserve"> </w:t>
      </w:r>
      <w:r>
        <w:rPr>
          <w:rFonts w:eastAsia="Times New Roman"/>
          <w:b/>
          <w:sz w:val="20"/>
          <w:szCs w:val="20"/>
        </w:rPr>
        <w:t>–</w:t>
      </w:r>
      <w:r w:rsidR="00B01424">
        <w:rPr>
          <w:rFonts w:eastAsia="Times New Roman"/>
          <w:b/>
          <w:sz w:val="20"/>
          <w:szCs w:val="20"/>
        </w:rPr>
        <w:t xml:space="preserve"> </w:t>
      </w:r>
      <w:r w:rsidRPr="00F84245">
        <w:rPr>
          <w:rFonts w:eastAsia="Times New Roman"/>
          <w:b/>
          <w:sz w:val="20"/>
          <w:szCs w:val="20"/>
        </w:rPr>
        <w:t xml:space="preserve">Waist High </w:t>
      </w:r>
      <w:r>
        <w:rPr>
          <w:rFonts w:eastAsia="Times New Roman"/>
          <w:b/>
          <w:sz w:val="20"/>
          <w:szCs w:val="20"/>
        </w:rPr>
        <w:t xml:space="preserve">Intelligent Admission </w:t>
      </w:r>
      <w:r w:rsidRPr="00F84245">
        <w:rPr>
          <w:rFonts w:eastAsia="Times New Roman"/>
          <w:b/>
          <w:sz w:val="20"/>
          <w:szCs w:val="20"/>
        </w:rPr>
        <w:t>Turnstile</w:t>
      </w:r>
      <w:r w:rsidR="00B01424">
        <w:rPr>
          <w:rFonts w:eastAsia="Times New Roman"/>
          <w:b/>
          <w:sz w:val="20"/>
          <w:szCs w:val="20"/>
        </w:rPr>
        <w:t xml:space="preserve"> for Attendant Assisted Entry Applications</w:t>
      </w:r>
    </w:p>
    <w:p w:rsidR="00910E0C" w:rsidRDefault="00910E0C" w:rsidP="00910E0C">
      <w:pPr>
        <w:spacing w:after="0" w:line="240" w:lineRule="auto"/>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910E0C" w:rsidRPr="00F84245" w:rsidRDefault="00910E0C" w:rsidP="00910E0C">
      <w:pPr>
        <w:spacing w:after="0" w:line="240" w:lineRule="auto"/>
        <w:rPr>
          <w:rFonts w:eastAsia="Times New Roman"/>
          <w:b/>
          <w:sz w:val="20"/>
          <w:szCs w:val="20"/>
        </w:rPr>
      </w:pPr>
    </w:p>
    <w:p w:rsidR="00910E0C" w:rsidRPr="00F84245" w:rsidRDefault="00910E0C" w:rsidP="00910E0C">
      <w:pPr>
        <w:spacing w:after="0" w:line="240" w:lineRule="auto"/>
        <w:rPr>
          <w:rFonts w:eastAsia="Times New Roman"/>
          <w:b/>
          <w:sz w:val="20"/>
          <w:szCs w:val="20"/>
        </w:rPr>
      </w:pPr>
      <w:r w:rsidRPr="00F84245">
        <w:rPr>
          <w:rFonts w:eastAsia="Times New Roman"/>
          <w:b/>
          <w:sz w:val="20"/>
          <w:szCs w:val="20"/>
        </w:rPr>
        <w:t>AVAILABLE FINISHES</w:t>
      </w:r>
    </w:p>
    <w:p w:rsidR="00910E0C" w:rsidRPr="00F84245" w:rsidRDefault="00B01424" w:rsidP="00910E0C">
      <w:pPr>
        <w:spacing w:after="0" w:line="240" w:lineRule="auto"/>
        <w:rPr>
          <w:rFonts w:eastAsia="Times New Roman"/>
          <w:b/>
          <w:sz w:val="20"/>
          <w:szCs w:val="20"/>
        </w:rPr>
      </w:pPr>
      <w:r>
        <w:rPr>
          <w:rFonts w:eastAsia="Times New Roman"/>
          <w:b/>
          <w:sz w:val="20"/>
          <w:szCs w:val="20"/>
        </w:rPr>
        <w:t xml:space="preserve">Dual </w:t>
      </w:r>
      <w:r w:rsidR="00910E0C">
        <w:rPr>
          <w:rFonts w:eastAsia="Times New Roman"/>
          <w:b/>
          <w:sz w:val="20"/>
          <w:szCs w:val="20"/>
        </w:rPr>
        <w:t>TAS12</w:t>
      </w:r>
      <w:r>
        <w:rPr>
          <w:rFonts w:eastAsia="Times New Roman"/>
          <w:b/>
          <w:sz w:val="20"/>
          <w:szCs w:val="20"/>
        </w:rPr>
        <w:t>AA</w:t>
      </w:r>
      <w:r w:rsidR="00910E0C">
        <w:rPr>
          <w:rFonts w:eastAsia="Times New Roman"/>
          <w:b/>
          <w:sz w:val="20"/>
          <w:szCs w:val="20"/>
        </w:rPr>
        <w:t>-EDC-</w:t>
      </w:r>
      <w:r w:rsidR="00910E0C" w:rsidRPr="00F84245">
        <w:rPr>
          <w:rFonts w:eastAsia="Times New Roman"/>
          <w:b/>
          <w:sz w:val="20"/>
          <w:szCs w:val="20"/>
        </w:rPr>
        <w:t>SS – Stainless Steel</w:t>
      </w:r>
    </w:p>
    <w:p w:rsidR="00910E0C" w:rsidRPr="00F84245" w:rsidRDefault="00B01424" w:rsidP="00910E0C">
      <w:pPr>
        <w:spacing w:after="0" w:line="240" w:lineRule="auto"/>
        <w:rPr>
          <w:rFonts w:eastAsia="Times New Roman"/>
          <w:b/>
          <w:sz w:val="20"/>
          <w:szCs w:val="20"/>
        </w:rPr>
      </w:pPr>
      <w:r>
        <w:rPr>
          <w:rFonts w:eastAsia="Times New Roman"/>
          <w:b/>
          <w:sz w:val="20"/>
          <w:szCs w:val="20"/>
        </w:rPr>
        <w:t xml:space="preserve">Dual </w:t>
      </w:r>
      <w:r w:rsidR="00910E0C">
        <w:rPr>
          <w:rFonts w:eastAsia="Times New Roman"/>
          <w:b/>
          <w:sz w:val="20"/>
          <w:szCs w:val="20"/>
        </w:rPr>
        <w:t>TAS12</w:t>
      </w:r>
      <w:r>
        <w:rPr>
          <w:rFonts w:eastAsia="Times New Roman"/>
          <w:b/>
          <w:sz w:val="20"/>
          <w:szCs w:val="20"/>
        </w:rPr>
        <w:t>AA</w:t>
      </w:r>
      <w:r w:rsidR="00910E0C">
        <w:rPr>
          <w:rFonts w:eastAsia="Times New Roman"/>
          <w:b/>
          <w:sz w:val="20"/>
          <w:szCs w:val="20"/>
        </w:rPr>
        <w:t>-EDC-PF – Powder Coat Finish</w:t>
      </w:r>
    </w:p>
    <w:p w:rsidR="00910E0C" w:rsidRPr="00F84245" w:rsidRDefault="00910E0C" w:rsidP="00910E0C">
      <w:pPr>
        <w:spacing w:after="0" w:line="240" w:lineRule="auto"/>
        <w:rPr>
          <w:rFonts w:eastAsia="Times New Roman"/>
          <w:b/>
          <w:sz w:val="20"/>
          <w:szCs w:val="20"/>
        </w:rPr>
      </w:pPr>
    </w:p>
    <w:p w:rsidR="00910E0C" w:rsidRPr="00BF1D76" w:rsidRDefault="00910E0C" w:rsidP="00910E0C">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910E0C" w:rsidRPr="00BF1D76" w:rsidRDefault="00910E0C" w:rsidP="00910E0C">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910E0C" w:rsidRDefault="00910E0C" w:rsidP="00910E0C">
      <w:pPr>
        <w:spacing w:after="0" w:line="240" w:lineRule="auto"/>
        <w:rPr>
          <w:rFonts w:eastAsia="Times New Roman"/>
          <w:sz w:val="20"/>
          <w:szCs w:val="20"/>
        </w:rPr>
      </w:pPr>
    </w:p>
    <w:p w:rsidR="00910E0C" w:rsidRPr="00F84245" w:rsidRDefault="00910E0C" w:rsidP="00910E0C">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485E7A" w:rsidRPr="00485E7A" w:rsidRDefault="00485E7A" w:rsidP="00485E7A">
      <w:pPr>
        <w:numPr>
          <w:ilvl w:val="0"/>
          <w:numId w:val="1"/>
        </w:numPr>
        <w:spacing w:after="120" w:line="240" w:lineRule="auto"/>
        <w:ind w:left="547"/>
        <w:rPr>
          <w:rFonts w:eastAsia="Times New Roman"/>
          <w:sz w:val="20"/>
          <w:szCs w:val="20"/>
        </w:rPr>
      </w:pPr>
      <w:r w:rsidRPr="00485E7A">
        <w:rPr>
          <w:rFonts w:eastAsia="Times New Roman"/>
          <w:sz w:val="20"/>
          <w:szCs w:val="20"/>
        </w:rPr>
        <w:t xml:space="preserve">This section covers the furnishing and installation of an electric lock controlled, intelligent admission waist high turnstile that provides patron self-scanning of entry credentials. The turnstile also supports attendant assisted entry applications. Examples of such applications include processing group tickets, providing season pass enrollment or verification, or awarding rewards or entitlements as part of the entry process. </w:t>
      </w:r>
    </w:p>
    <w:p w:rsidR="00910E0C" w:rsidRPr="00F84245" w:rsidRDefault="00910E0C" w:rsidP="00910E0C">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910E0C" w:rsidRPr="00F84245" w:rsidRDefault="00910E0C" w:rsidP="00910E0C">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for a minimum of 10 years. </w:t>
      </w:r>
    </w:p>
    <w:p w:rsidR="00910E0C" w:rsidRPr="00F84245" w:rsidRDefault="00910E0C" w:rsidP="00910E0C">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910E0C" w:rsidRPr="00F84245" w:rsidRDefault="00910E0C" w:rsidP="00910E0C">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910E0C" w:rsidRPr="00F84245" w:rsidRDefault="00910E0C" w:rsidP="00910E0C">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910E0C" w:rsidRPr="00F84245" w:rsidRDefault="00910E0C" w:rsidP="00910E0C">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910E0C" w:rsidRPr="00F84245" w:rsidRDefault="00910E0C" w:rsidP="00910E0C">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910E0C" w:rsidRPr="00F84245" w:rsidRDefault="00910E0C" w:rsidP="00910E0C">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910E0C" w:rsidRPr="00F84245" w:rsidRDefault="00910E0C" w:rsidP="00910E0C">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910E0C" w:rsidRPr="00F84245" w:rsidRDefault="00910E0C" w:rsidP="00910E0C">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910E0C" w:rsidRPr="00F84245" w:rsidRDefault="00910E0C" w:rsidP="00910E0C">
      <w:pPr>
        <w:spacing w:after="0" w:line="240" w:lineRule="auto"/>
        <w:rPr>
          <w:rFonts w:eastAsia="Times New Roman"/>
          <w:sz w:val="20"/>
          <w:szCs w:val="20"/>
        </w:rPr>
      </w:pPr>
    </w:p>
    <w:p w:rsidR="00910E0C" w:rsidRPr="00F84245" w:rsidRDefault="00910E0C" w:rsidP="00910E0C">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910E0C" w:rsidRPr="00F84245" w:rsidRDefault="00910E0C" w:rsidP="00910E0C">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910E0C" w:rsidRPr="00F84245" w:rsidRDefault="00910E0C" w:rsidP="00910E0C">
      <w:pPr>
        <w:spacing w:after="0" w:line="240" w:lineRule="auto"/>
        <w:ind w:left="570"/>
        <w:rPr>
          <w:rFonts w:eastAsia="Times New Roman"/>
          <w:sz w:val="20"/>
          <w:szCs w:val="20"/>
        </w:rPr>
      </w:pPr>
    </w:p>
    <w:p w:rsidR="00910E0C" w:rsidRPr="00F84245" w:rsidRDefault="00910E0C" w:rsidP="00910E0C">
      <w:pPr>
        <w:spacing w:after="0" w:line="240" w:lineRule="auto"/>
        <w:rPr>
          <w:rFonts w:eastAsia="Times New Roman"/>
          <w:b/>
          <w:sz w:val="20"/>
          <w:szCs w:val="20"/>
          <w:u w:val="single"/>
        </w:rPr>
      </w:pPr>
      <w:r w:rsidRPr="00F84245">
        <w:rPr>
          <w:rFonts w:eastAsia="Times New Roman"/>
          <w:b/>
          <w:sz w:val="20"/>
          <w:szCs w:val="20"/>
          <w:u w:val="single"/>
        </w:rPr>
        <w:t>PART II – PRODUCTS</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910E0C" w:rsidRPr="00F84245" w:rsidRDefault="00910E0C" w:rsidP="00910E0C">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910E0C" w:rsidRPr="00F84245" w:rsidRDefault="002E32D4" w:rsidP="00910E0C">
      <w:pPr>
        <w:spacing w:after="0" w:line="240" w:lineRule="auto"/>
        <w:ind w:left="555"/>
        <w:jc w:val="both"/>
        <w:rPr>
          <w:rFonts w:eastAsia="Times New Roman"/>
          <w:i/>
          <w:sz w:val="20"/>
          <w:szCs w:val="20"/>
        </w:rPr>
      </w:pPr>
      <w:r>
        <w:rPr>
          <w:rFonts w:eastAsia="Times New Roman"/>
          <w:sz w:val="20"/>
          <w:szCs w:val="20"/>
        </w:rPr>
        <w:t xml:space="preserve">Dual </w:t>
      </w:r>
      <w:r w:rsidR="00910E0C">
        <w:rPr>
          <w:rFonts w:eastAsia="Times New Roman"/>
          <w:sz w:val="20"/>
          <w:szCs w:val="20"/>
        </w:rPr>
        <w:t>TAS12</w:t>
      </w:r>
      <w:r w:rsidR="00785D7A">
        <w:rPr>
          <w:rFonts w:eastAsia="Times New Roman"/>
          <w:sz w:val="20"/>
          <w:szCs w:val="20"/>
        </w:rPr>
        <w:t>AA</w:t>
      </w:r>
      <w:r w:rsidR="00910E0C">
        <w:rPr>
          <w:rFonts w:eastAsia="Times New Roman"/>
          <w:sz w:val="20"/>
          <w:szCs w:val="20"/>
        </w:rPr>
        <w:t>-EDC</w:t>
      </w:r>
      <w:r w:rsidR="00910E0C" w:rsidRPr="00F84245">
        <w:rPr>
          <w:rFonts w:eastAsia="Times New Roman"/>
          <w:sz w:val="20"/>
          <w:szCs w:val="20"/>
        </w:rPr>
        <w:t xml:space="preserve"> Waist High Turnstile, no substitutions. </w:t>
      </w:r>
    </w:p>
    <w:p w:rsidR="00910E0C" w:rsidRPr="00F84245" w:rsidRDefault="00910E0C" w:rsidP="00910E0C">
      <w:pPr>
        <w:spacing w:after="0" w:line="240" w:lineRule="auto"/>
        <w:ind w:left="555"/>
        <w:jc w:val="both"/>
        <w:rPr>
          <w:rFonts w:eastAsia="Times New Roman"/>
          <w:i/>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910E0C" w:rsidRPr="00F55C58" w:rsidRDefault="00910E0C" w:rsidP="00910E0C">
      <w:pPr>
        <w:numPr>
          <w:ilvl w:val="0"/>
          <w:numId w:val="14"/>
        </w:numPr>
        <w:spacing w:after="0" w:line="240" w:lineRule="auto"/>
        <w:rPr>
          <w:rFonts w:eastAsia="Times New Roman"/>
          <w:sz w:val="20"/>
          <w:szCs w:val="20"/>
        </w:rPr>
      </w:pPr>
      <w:r>
        <w:rPr>
          <w:rFonts w:eastAsia="Times New Roman"/>
          <w:sz w:val="20"/>
          <w:szCs w:val="20"/>
          <w:u w:val="single"/>
        </w:rPr>
        <w:t>Scan Head Assemblies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There shall be two Scan Head assemblies installed on the lid. </w:t>
      </w:r>
      <w:r w:rsidRPr="00F84245">
        <w:rPr>
          <w:rFonts w:eastAsia="Times New Roman"/>
          <w:sz w:val="20"/>
          <w:szCs w:val="20"/>
        </w:rPr>
        <w:t xml:space="preserve">The </w:t>
      </w:r>
      <w:r>
        <w:rPr>
          <w:rFonts w:eastAsia="Times New Roman"/>
          <w:sz w:val="20"/>
          <w:szCs w:val="20"/>
        </w:rPr>
        <w:t>Scan Head assemblies</w:t>
      </w:r>
      <w:r w:rsidRPr="00F84245">
        <w:rPr>
          <w:rFonts w:eastAsia="Times New Roman"/>
          <w:sz w:val="20"/>
          <w:szCs w:val="20"/>
        </w:rPr>
        <w:t xml:space="preserve">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Each assembly includes: </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E37C65">
        <w:rPr>
          <w:rFonts w:eastAsia="Times New Roman"/>
          <w:sz w:val="20"/>
          <w:szCs w:val="20"/>
        </w:rPr>
        <w:t>ed</w:t>
      </w:r>
      <w:r>
        <w:rPr>
          <w:rFonts w:eastAsia="Times New Roman"/>
          <w:sz w:val="20"/>
          <w:szCs w:val="20"/>
        </w:rPr>
        <w:t xml:space="preserve"> on paper, smart phones and wristbands.</w:t>
      </w:r>
    </w:p>
    <w:p w:rsidR="00910E0C" w:rsidRDefault="00785D7A"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w:t>
      </w:r>
      <w:r w:rsidR="00910E0C">
        <w:rPr>
          <w:rFonts w:eastAsia="Times New Roman"/>
          <w:sz w:val="20"/>
          <w:szCs w:val="20"/>
        </w:rPr>
        <w:t>.7” (diagonal) color TFT Display.</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E37C65">
        <w:rPr>
          <w:rFonts w:eastAsia="Times New Roman"/>
          <w:sz w:val="20"/>
          <w:szCs w:val="20"/>
        </w:rPr>
        <w:t>“</w:t>
      </w:r>
      <w:r>
        <w:rPr>
          <w:rFonts w:eastAsia="Times New Roman"/>
          <w:sz w:val="20"/>
          <w:szCs w:val="20"/>
        </w:rPr>
        <w:t>senior” or “VIP”</w:t>
      </w:r>
      <w:r w:rsidR="00E37C65">
        <w:rPr>
          <w:rFonts w:eastAsia="Times New Roman"/>
          <w:sz w:val="20"/>
          <w:szCs w:val="20"/>
        </w:rPr>
        <w:t>.</w:t>
      </w:r>
      <w:r>
        <w:rPr>
          <w:rFonts w:eastAsia="Times New Roman"/>
          <w:sz w:val="20"/>
          <w:szCs w:val="20"/>
        </w:rPr>
        <w:t xml:space="preserve"> </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785D7A">
        <w:rPr>
          <w:rFonts w:eastAsia="Times New Roman"/>
          <w:sz w:val="20"/>
          <w:szCs w:val="20"/>
        </w:rPr>
        <w:t>third</w:t>
      </w:r>
      <w:r>
        <w:rPr>
          <w:rFonts w:eastAsia="Times New Roman"/>
          <w:sz w:val="20"/>
          <w:szCs w:val="20"/>
        </w:rPr>
        <w:t xml:space="preserve"> party access control software using Alvarado’s </w:t>
      </w:r>
      <w:proofErr w:type="spellStart"/>
      <w:r w:rsidRPr="00F55C58">
        <w:rPr>
          <w:rFonts w:eastAsia="Times New Roman"/>
          <w:i/>
          <w:sz w:val="20"/>
          <w:szCs w:val="20"/>
        </w:rPr>
        <w:t>DirectConnect</w:t>
      </w:r>
      <w:proofErr w:type="spellEnd"/>
      <w:r w:rsidRPr="00F55C58">
        <w:rPr>
          <w:rFonts w:eastAsia="Times New Roman"/>
          <w:i/>
          <w:sz w:val="20"/>
          <w:szCs w:val="20"/>
        </w:rPr>
        <w:t xml:space="preserve"> API.</w:t>
      </w:r>
    </w:p>
    <w:p w:rsidR="00910E0C" w:rsidRPr="00F55C58" w:rsidRDefault="00910E0C" w:rsidP="00910E0C">
      <w:pPr>
        <w:spacing w:after="0" w:line="240" w:lineRule="auto"/>
        <w:ind w:left="540"/>
        <w:rPr>
          <w:rFonts w:eastAsia="Times New Roman"/>
          <w:sz w:val="20"/>
          <w:szCs w:val="20"/>
        </w:rPr>
      </w:pPr>
    </w:p>
    <w:p w:rsidR="00910E0C" w:rsidRPr="00F84245" w:rsidRDefault="00910E0C" w:rsidP="00910E0C">
      <w:pPr>
        <w:numPr>
          <w:ilvl w:val="0"/>
          <w:numId w:val="14"/>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910E0C" w:rsidRPr="00F84245" w:rsidRDefault="00910E0C" w:rsidP="00910E0C">
      <w:pPr>
        <w:numPr>
          <w:ilvl w:val="0"/>
          <w:numId w:val="22"/>
        </w:numPr>
        <w:tabs>
          <w:tab w:val="num" w:pos="1080"/>
        </w:tabs>
        <w:spacing w:after="0" w:line="240" w:lineRule="auto"/>
        <w:ind w:hanging="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910E0C" w:rsidRPr="00F84245" w:rsidRDefault="00910E0C" w:rsidP="00910E0C">
      <w:pPr>
        <w:numPr>
          <w:ilvl w:val="0"/>
          <w:numId w:val="22"/>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910E0C" w:rsidRPr="00F84245" w:rsidRDefault="00910E0C" w:rsidP="00910E0C">
      <w:pPr>
        <w:numPr>
          <w:ilvl w:val="0"/>
          <w:numId w:val="22"/>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910E0C" w:rsidRPr="00F84245" w:rsidRDefault="00910E0C" w:rsidP="00910E0C">
      <w:pPr>
        <w:numPr>
          <w:ilvl w:val="0"/>
          <w:numId w:val="14"/>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910E0C" w:rsidRPr="00F84245" w:rsidRDefault="00910E0C" w:rsidP="00910E0C">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910E0C" w:rsidRPr="00F84245" w:rsidRDefault="00910E0C" w:rsidP="00910E0C">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910E0C" w:rsidRPr="00F84245" w:rsidRDefault="00910E0C" w:rsidP="00910E0C">
      <w:pPr>
        <w:numPr>
          <w:ilvl w:val="0"/>
          <w:numId w:val="21"/>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910E0C" w:rsidRPr="00F84245" w:rsidRDefault="00910E0C" w:rsidP="00910E0C">
      <w:pPr>
        <w:numPr>
          <w:ilvl w:val="0"/>
          <w:numId w:val="14"/>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910E0C" w:rsidRPr="00F84245"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910E0C"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910E0C" w:rsidRPr="00F84245"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910E0C" w:rsidRPr="00455933" w:rsidRDefault="00910E0C" w:rsidP="00910E0C">
      <w:pPr>
        <w:spacing w:after="0" w:line="240" w:lineRule="auto"/>
        <w:ind w:left="720"/>
        <w:jc w:val="both"/>
        <w:rPr>
          <w:rFonts w:eastAsia="Times New Roman"/>
          <w:b/>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910E0C" w:rsidRDefault="00910E0C" w:rsidP="00910E0C">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B01424" w:rsidRDefault="00B01424" w:rsidP="00910E0C">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This</w:t>
      </w:r>
      <w:r w:rsidR="00910E0C" w:rsidRPr="00F55C58">
        <w:rPr>
          <w:rFonts w:eastAsia="Times New Roman"/>
          <w:sz w:val="20"/>
          <w:szCs w:val="20"/>
        </w:rPr>
        <w:t xml:space="preserve"> turnstile </w:t>
      </w:r>
      <w:r>
        <w:rPr>
          <w:rFonts w:eastAsia="Times New Roman"/>
          <w:sz w:val="20"/>
          <w:szCs w:val="20"/>
        </w:rPr>
        <w:t>model is designed for use in attendant assisted entry applications. The two scan heads (one for the patron and one for the attendant) are internally connected. This allows the guest facing color display to provide visual instructions for guests, while the rear-facing attendant touchscreen allows the attendant to provide assistance as part of the entry process. Examples include processing group tickets, providing season pass enrollment or verification, or awarding rewards or entitlements as part of the entry process.</w:t>
      </w:r>
    </w:p>
    <w:p w:rsidR="00910E0C" w:rsidRDefault="00B01424" w:rsidP="00910E0C">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The turn</w:t>
      </w:r>
      <w:r w:rsidR="00910E0C" w:rsidRPr="00F55C58">
        <w:rPr>
          <w:rFonts w:eastAsia="Times New Roman"/>
          <w:sz w:val="20"/>
          <w:szCs w:val="20"/>
        </w:rPr>
        <w:t>s</w:t>
      </w:r>
      <w:r w:rsidR="00485E7A">
        <w:rPr>
          <w:rFonts w:eastAsia="Times New Roman"/>
          <w:sz w:val="20"/>
          <w:szCs w:val="20"/>
        </w:rPr>
        <w:t xml:space="preserve">tile shall </w:t>
      </w:r>
      <w:r w:rsidR="00910E0C" w:rsidRPr="00F55C58">
        <w:rPr>
          <w:rFonts w:eastAsia="Times New Roman"/>
          <w:sz w:val="20"/>
          <w:szCs w:val="20"/>
        </w:rPr>
        <w:t xml:space="preserve">provide electric lock control in the entry </w:t>
      </w:r>
      <w:r w:rsidR="00910E0C">
        <w:rPr>
          <w:rFonts w:eastAsia="Times New Roman"/>
          <w:sz w:val="20"/>
          <w:szCs w:val="20"/>
        </w:rPr>
        <w:t>direction</w:t>
      </w:r>
      <w:r w:rsidR="00910E0C" w:rsidRPr="00F55C58">
        <w:rPr>
          <w:rFonts w:eastAsia="Times New Roman"/>
          <w:sz w:val="20"/>
          <w:szCs w:val="20"/>
        </w:rPr>
        <w:t xml:space="preserve">. </w:t>
      </w:r>
    </w:p>
    <w:p w:rsidR="00910E0C" w:rsidRPr="00F55C58" w:rsidRDefault="00B01424" w:rsidP="00910E0C">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Upon completion of the entry process</w:t>
      </w:r>
      <w:r w:rsidR="00910E0C" w:rsidRPr="00F55C58">
        <w:rPr>
          <w:rFonts w:eastAsia="Times New Roman"/>
          <w:sz w:val="20"/>
          <w:szCs w:val="20"/>
        </w:rPr>
        <w:t>, the turnstile will unlock and allow a single user to pass through the turnstile in the direction requested. The turnstile will reset after the user has passed through the turnstile or within 20 seconds if passage does not occur</w:t>
      </w:r>
      <w:r w:rsidR="00910E0C" w:rsidRPr="00F55C58">
        <w:rPr>
          <w:rFonts w:eastAsia="Times New Roman" w:cs="Arial"/>
          <w:color w:val="000000"/>
          <w:sz w:val="20"/>
          <w:szCs w:val="20"/>
        </w:rPr>
        <w:t>.</w:t>
      </w:r>
    </w:p>
    <w:p w:rsidR="00485E7A" w:rsidRPr="00F55C58" w:rsidRDefault="00485E7A" w:rsidP="00485E7A">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operational instructions to patrons via the color display. This includes instructions for validation as well as the status of presented credentials. The turnstile shall have the capability to provide instructions in the form of graphics and text. Text can be in any language.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lastRenderedPageBreak/>
        <w:t xml:space="preserve">The turnstile shall provide audio instructions to patrons and attendants.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Graphics, text and audio can be changed, as desired, by uploading files to individual or all turnstiles from a server.</w:t>
      </w:r>
    </w:p>
    <w:p w:rsidR="00910E0C" w:rsidRDefault="00910E0C" w:rsidP="00910E0C">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In the event that communication to the access control server is not possible, the turnstile shall have the capabili</w:t>
      </w:r>
      <w:r w:rsidR="00E37C65">
        <w:rPr>
          <w:rFonts w:eastAsia="Times New Roman"/>
          <w:sz w:val="20"/>
          <w:szCs w:val="20"/>
        </w:rPr>
        <w:t>ty to validate credentials “off</w:t>
      </w:r>
      <w:r w:rsidRPr="00F55C58">
        <w:rPr>
          <w:rFonts w:eastAsia="Times New Roman"/>
          <w:sz w:val="20"/>
          <w:szCs w:val="20"/>
        </w:rPr>
        <w:t xml:space="preserve">line”. When communication to the server is </w:t>
      </w:r>
      <w:r w:rsidR="00E37C65">
        <w:rPr>
          <w:rFonts w:eastAsia="Times New Roman"/>
          <w:sz w:val="20"/>
          <w:szCs w:val="20"/>
        </w:rPr>
        <w:t>restored, tickets validated off</w:t>
      </w:r>
      <w:r w:rsidRPr="00F55C58">
        <w:rPr>
          <w:rFonts w:eastAsia="Times New Roman"/>
          <w:sz w:val="20"/>
          <w:szCs w:val="20"/>
        </w:rPr>
        <w:t xml:space="preserve">line are automatically uploaded to the server. </w:t>
      </w:r>
    </w:p>
    <w:p w:rsidR="00910E0C" w:rsidRPr="00F55C58" w:rsidRDefault="00910E0C" w:rsidP="00910E0C">
      <w:pPr>
        <w:numPr>
          <w:ilvl w:val="0"/>
          <w:numId w:val="23"/>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turnstile shall include a diagnostic utility accessed through the device touchscreen. The utility allows </w:t>
      </w:r>
      <w:r>
        <w:rPr>
          <w:rFonts w:eastAsia="Times New Roman"/>
          <w:sz w:val="20"/>
          <w:szCs w:val="20"/>
        </w:rPr>
        <w:t xml:space="preserve">operators to test turnstile functionality and make configuration changes. </w:t>
      </w:r>
    </w:p>
    <w:p w:rsidR="00910E0C" w:rsidRPr="00F84245" w:rsidRDefault="00910E0C" w:rsidP="00910E0C">
      <w:pPr>
        <w:numPr>
          <w:ilvl w:val="0"/>
          <w:numId w:val="11"/>
        </w:numPr>
        <w:spacing w:after="0" w:line="240" w:lineRule="auto"/>
        <w:rPr>
          <w:rFonts w:eastAsia="Times New Roman"/>
          <w:sz w:val="20"/>
          <w:szCs w:val="20"/>
        </w:rPr>
      </w:pPr>
      <w:r w:rsidRPr="00F84245">
        <w:rPr>
          <w:rFonts w:eastAsia="Times New Roman"/>
          <w:sz w:val="20"/>
          <w:szCs w:val="20"/>
          <w:u w:val="single"/>
        </w:rPr>
        <w:t>Mechanical Operation:</w:t>
      </w:r>
    </w:p>
    <w:p w:rsidR="00910E0C" w:rsidRPr="00F84245" w:rsidRDefault="00910E0C" w:rsidP="00910E0C">
      <w:pPr>
        <w:numPr>
          <w:ilvl w:val="0"/>
          <w:numId w:val="17"/>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In the event a user places forward pressure on the turnstile arm during activation, once the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910E0C" w:rsidRPr="00F84245" w:rsidRDefault="00910E0C" w:rsidP="00910E0C">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23:00Z">
        <w:r w:rsidR="00785D7A" w:rsidRPr="005D27A4" w:rsidDel="00F75EFB">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turnstile. Turnstile 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w:t>
      </w:r>
      <w:r>
        <w:rPr>
          <w:rFonts w:eastAsia="Times New Roman"/>
          <w:sz w:val="20"/>
          <w:szCs w:val="20"/>
        </w:rPr>
        <w:t xml:space="preserve">fail-safe </w:t>
      </w:r>
      <w:r w:rsidRPr="00F84245">
        <w:rPr>
          <w:rFonts w:eastAsia="Times New Roman"/>
          <w:sz w:val="20"/>
          <w:szCs w:val="20"/>
        </w:rPr>
        <w:t xml:space="preserve">in the electrically controlled direction. </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Electrical operation of the turnstile shall be tested and approved by Los Angeles Testing Laboratories.</w:t>
      </w:r>
    </w:p>
    <w:p w:rsidR="00910E0C" w:rsidRPr="00F84245" w:rsidRDefault="00910E0C" w:rsidP="00910E0C">
      <w:pPr>
        <w:spacing w:after="0" w:line="240" w:lineRule="auto"/>
        <w:jc w:val="both"/>
        <w:rPr>
          <w:rFonts w:eastAsia="Times New Roman"/>
          <w:sz w:val="20"/>
          <w:szCs w:val="20"/>
        </w:rPr>
      </w:pPr>
    </w:p>
    <w:p w:rsidR="00910E0C" w:rsidRPr="007B7C39" w:rsidRDefault="00910E0C" w:rsidP="00910E0C">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485E7A" w:rsidRPr="00485E7A" w:rsidRDefault="00485E7A" w:rsidP="00485E7A">
      <w:pPr>
        <w:numPr>
          <w:ilvl w:val="0"/>
          <w:numId w:val="7"/>
        </w:numPr>
        <w:spacing w:after="0" w:line="240" w:lineRule="auto"/>
        <w:rPr>
          <w:rFonts w:eastAsia="Times New Roman"/>
          <w:sz w:val="20"/>
          <w:szCs w:val="20"/>
        </w:rPr>
      </w:pPr>
      <w:r w:rsidRPr="00485E7A">
        <w:rPr>
          <w:rFonts w:eastAsia="Times New Roman"/>
          <w:sz w:val="20"/>
          <w:szCs w:val="20"/>
          <w:u w:val="single"/>
        </w:rPr>
        <w:t>Reader or Activation Device Integration</w:t>
      </w:r>
      <w:r w:rsidRPr="00485E7A">
        <w:rPr>
          <w:rFonts w:eastAsia="Times New Roman"/>
          <w:sz w:val="20"/>
          <w:szCs w:val="20"/>
        </w:rPr>
        <w:t>: The turnstile validates 1D/2D bar coded credentials. Options to validate additional media, such as RFID are available. See Options section below.</w:t>
      </w:r>
    </w:p>
    <w:p w:rsidR="00485E7A" w:rsidRDefault="00485E7A" w:rsidP="00910E0C">
      <w:pPr>
        <w:spacing w:after="0" w:line="240" w:lineRule="auto"/>
        <w:ind w:left="555"/>
        <w:rPr>
          <w:rFonts w:eastAsia="Times New Roman"/>
          <w:b/>
          <w:sz w:val="20"/>
          <w:szCs w:val="20"/>
        </w:rPr>
      </w:pPr>
    </w:p>
    <w:p w:rsidR="00910E0C"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910E0C" w:rsidRDefault="00910E0C" w:rsidP="00910E0C">
      <w:pPr>
        <w:spacing w:after="0" w:line="240" w:lineRule="auto"/>
        <w:ind w:left="555"/>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910E0C" w:rsidRPr="00F84245" w:rsidRDefault="00910E0C" w:rsidP="00910E0C">
      <w:pPr>
        <w:spacing w:after="0" w:line="240" w:lineRule="auto"/>
        <w:ind w:left="555"/>
        <w:rPr>
          <w:rFonts w:eastAsia="Times New Roman"/>
          <w:b/>
          <w:sz w:val="20"/>
          <w:szCs w:val="20"/>
        </w:rPr>
      </w:pPr>
    </w:p>
    <w:p w:rsidR="00910E0C" w:rsidRPr="00F84245" w:rsidRDefault="00910E0C" w:rsidP="00910E0C">
      <w:pPr>
        <w:numPr>
          <w:ilvl w:val="0"/>
          <w:numId w:val="19"/>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The cabinet and lid shall be fabricated from stainless steel with a #4 satin finish.</w:t>
      </w:r>
    </w:p>
    <w:p w:rsidR="00910E0C" w:rsidRPr="00F84245" w:rsidRDefault="00910E0C" w:rsidP="00910E0C">
      <w:pPr>
        <w:numPr>
          <w:ilvl w:val="0"/>
          <w:numId w:val="19"/>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The cabinet shall be painted in a powder coat color specified by the project requirements. The stainless steel lid</w:t>
      </w:r>
      <w:r w:rsidR="00785D7A">
        <w:rPr>
          <w:rFonts w:eastAsia="Times New Roman"/>
          <w:sz w:val="20"/>
          <w:szCs w:val="20"/>
        </w:rPr>
        <w:t>, scan head assemblies</w:t>
      </w:r>
      <w:r>
        <w:rPr>
          <w:rFonts w:eastAsia="Times New Roman"/>
          <w:sz w:val="20"/>
          <w:szCs w:val="20"/>
        </w:rPr>
        <w:t xml:space="preserve">, </w:t>
      </w:r>
      <w:r w:rsidRPr="00F84245">
        <w:rPr>
          <w:rFonts w:eastAsia="Times New Roman"/>
          <w:sz w:val="20"/>
          <w:szCs w:val="20"/>
        </w:rPr>
        <w:t xml:space="preserve">aluminum head and stainless steel arms shall not be painted. </w:t>
      </w:r>
    </w:p>
    <w:p w:rsidR="00910E0C" w:rsidRDefault="00910E0C" w:rsidP="00910E0C">
      <w:pPr>
        <w:spacing w:after="0" w:line="240" w:lineRule="auto"/>
        <w:ind w:left="555"/>
        <w:rPr>
          <w:rFonts w:eastAsia="Times New Roman"/>
          <w:b/>
          <w:sz w:val="20"/>
          <w:szCs w:val="20"/>
        </w:rPr>
      </w:pPr>
    </w:p>
    <w:p w:rsidR="00910E0C"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OPTIONS</w:t>
      </w:r>
    </w:p>
    <w:p w:rsidR="00910E0C" w:rsidRDefault="00910E0C" w:rsidP="00910E0C">
      <w:pPr>
        <w:spacing w:after="0" w:line="240" w:lineRule="auto"/>
        <w:ind w:left="555"/>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910E0C" w:rsidRPr="00F84245" w:rsidRDefault="00910E0C" w:rsidP="00910E0C">
      <w:pPr>
        <w:spacing w:after="0" w:line="240" w:lineRule="auto"/>
        <w:ind w:left="555"/>
        <w:rPr>
          <w:rFonts w:eastAsia="Times New Roman"/>
          <w:b/>
          <w:sz w:val="20"/>
          <w:szCs w:val="20"/>
        </w:rPr>
      </w:pPr>
    </w:p>
    <w:p w:rsidR="008D6EDE" w:rsidRPr="00C548CA" w:rsidRDefault="008D6EDE" w:rsidP="008D6EDE">
      <w:pPr>
        <w:numPr>
          <w:ilvl w:val="0"/>
          <w:numId w:val="20"/>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turnstile. </w:t>
      </w:r>
    </w:p>
    <w:p w:rsidR="00910E0C" w:rsidRPr="00F55C58"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Digital Rotation Counter</w:t>
      </w:r>
      <w:r>
        <w:rPr>
          <w:rFonts w:eastAsia="Times New Roman"/>
          <w:sz w:val="20"/>
          <w:szCs w:val="20"/>
        </w:rPr>
        <w:t>: A lithium battery powered LCD is installed in the turnstile cabinet. Each rotation of the turnstile generates a count. One counter is required per rotation direction. Counters can be reset to “0” using a provided key.</w:t>
      </w:r>
    </w:p>
    <w:p w:rsidR="00910E0C" w:rsidRPr="00F55C58"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Drop Arm</w:t>
      </w:r>
      <w:r>
        <w:rPr>
          <w:rFonts w:eastAsia="Times New Roman"/>
          <w:sz w:val="20"/>
          <w:szCs w:val="20"/>
        </w:rPr>
        <w:t xml:space="preserve">: The horizontal turnstile arm drops down to provide a clear passageway. The mechanism is </w:t>
      </w:r>
      <w:r w:rsidR="00275F7D">
        <w:rPr>
          <w:rFonts w:eastAsia="Times New Roman"/>
          <w:sz w:val="20"/>
          <w:szCs w:val="20"/>
        </w:rPr>
        <w:t>electro</w:t>
      </w:r>
      <w:r>
        <w:rPr>
          <w:rFonts w:eastAsia="Times New Roman"/>
          <w:sz w:val="20"/>
          <w:szCs w:val="20"/>
        </w:rPr>
        <w:t>-mechanical. The arm drops when power is removed from the turnstile. No available with battery powered options</w:t>
      </w:r>
      <w:r w:rsidR="00E37C65">
        <w:rPr>
          <w:rFonts w:eastAsia="Times New Roman"/>
          <w:sz w:val="20"/>
          <w:szCs w:val="20"/>
        </w:rPr>
        <w:t>.</w:t>
      </w:r>
      <w:r>
        <w:rPr>
          <w:rFonts w:eastAsia="Times New Roman"/>
          <w:sz w:val="20"/>
          <w:szCs w:val="20"/>
        </w:rPr>
        <w:t xml:space="preserve"> </w:t>
      </w:r>
    </w:p>
    <w:p w:rsidR="00910E0C" w:rsidRPr="00F84245" w:rsidRDefault="00910E0C" w:rsidP="00910E0C">
      <w:pPr>
        <w:numPr>
          <w:ilvl w:val="0"/>
          <w:numId w:val="20"/>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910E0C" w:rsidRPr="00F84245" w:rsidRDefault="00275F7D" w:rsidP="00910E0C">
      <w:pPr>
        <w:numPr>
          <w:ilvl w:val="0"/>
          <w:numId w:val="20"/>
        </w:numPr>
        <w:spacing w:after="120" w:line="240" w:lineRule="auto"/>
        <w:ind w:left="547"/>
        <w:rPr>
          <w:rFonts w:eastAsia="Times New Roman"/>
          <w:sz w:val="20"/>
          <w:szCs w:val="20"/>
        </w:rPr>
      </w:pPr>
      <w:r>
        <w:rPr>
          <w:rFonts w:eastAsia="Times New Roman"/>
          <w:sz w:val="20"/>
          <w:szCs w:val="20"/>
          <w:u w:val="single"/>
        </w:rPr>
        <w:lastRenderedPageBreak/>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910E0C">
        <w:rPr>
          <w:rFonts w:eastAsia="Times New Roman"/>
          <w:sz w:val="20"/>
          <w:szCs w:val="20"/>
        </w:rPr>
        <w:t>A rear AC plug is provided to power the turnstile</w:t>
      </w:r>
      <w:r w:rsidR="00910E0C" w:rsidRPr="00F84245">
        <w:rPr>
          <w:rFonts w:eastAsia="Times New Roman"/>
          <w:sz w:val="20"/>
          <w:szCs w:val="20"/>
        </w:rPr>
        <w:t>.</w:t>
      </w:r>
      <w:r w:rsidR="00910E0C">
        <w:rPr>
          <w:rFonts w:eastAsia="Times New Roman"/>
          <w:sz w:val="20"/>
          <w:szCs w:val="20"/>
        </w:rPr>
        <w:t xml:space="preserve"> Wireless communication only.</w:t>
      </w:r>
    </w:p>
    <w:p w:rsidR="00910E0C" w:rsidRPr="00F84245" w:rsidRDefault="00275F7D" w:rsidP="00910E0C">
      <w:pPr>
        <w:numPr>
          <w:ilvl w:val="0"/>
          <w:numId w:val="20"/>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910E0C">
        <w:rPr>
          <w:rFonts w:eastAsia="Times New Roman"/>
          <w:sz w:val="20"/>
          <w:szCs w:val="20"/>
        </w:rPr>
        <w:t>An internal battery supplies power. Wireless communication only.</w:t>
      </w:r>
    </w:p>
    <w:p w:rsidR="00910E0C"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turnstile when not in use. Covers are available in multiple colors. </w:t>
      </w:r>
    </w:p>
    <w:p w:rsidR="00910E0C" w:rsidRPr="00F55C58" w:rsidRDefault="00910E0C" w:rsidP="00910E0C">
      <w:pPr>
        <w:numPr>
          <w:ilvl w:val="0"/>
          <w:numId w:val="20"/>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910E0C" w:rsidRDefault="00910E0C" w:rsidP="00910E0C">
      <w:pPr>
        <w:numPr>
          <w:ilvl w:val="0"/>
          <w:numId w:val="20"/>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910E0C" w:rsidRPr="00F84245" w:rsidRDefault="00910E0C" w:rsidP="00910E0C">
      <w:pPr>
        <w:spacing w:after="0" w:line="240" w:lineRule="auto"/>
        <w:ind w:left="547"/>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910E0C" w:rsidRPr="00F84245" w:rsidRDefault="00910E0C" w:rsidP="00910E0C">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910E0C" w:rsidRPr="00F84245" w:rsidRDefault="00910E0C" w:rsidP="00910E0C">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910E0C" w:rsidRDefault="00910E0C" w:rsidP="00910E0C">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910E0C" w:rsidRPr="00F84245" w:rsidRDefault="00910E0C" w:rsidP="00910E0C">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910E0C" w:rsidRPr="00F84245" w:rsidRDefault="00910E0C" w:rsidP="00910E0C">
      <w:pPr>
        <w:spacing w:after="0" w:line="240" w:lineRule="auto"/>
        <w:rPr>
          <w:rFonts w:eastAsia="Times New Roman"/>
          <w:sz w:val="20"/>
          <w:szCs w:val="20"/>
        </w:rPr>
      </w:pPr>
    </w:p>
    <w:p w:rsidR="00910E0C" w:rsidRDefault="00910E0C" w:rsidP="00910E0C">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910E0C" w:rsidRPr="00E83025" w:rsidRDefault="00910E0C" w:rsidP="00910E0C">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910E0C" w:rsidRPr="00BF1D76" w:rsidRDefault="00910E0C" w:rsidP="00910E0C">
      <w:pPr>
        <w:numPr>
          <w:ilvl w:val="0"/>
          <w:numId w:val="12"/>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910E0C" w:rsidRDefault="00910E0C" w:rsidP="00910E0C">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910E0C" w:rsidRPr="00BF1D76" w:rsidRDefault="00910E0C" w:rsidP="00910E0C">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910E0C" w:rsidRPr="00BF1D76" w:rsidRDefault="00910E0C" w:rsidP="00910E0C">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910E0C" w:rsidRDefault="00910E0C" w:rsidP="00910E0C">
      <w:pPr>
        <w:spacing w:after="0" w:line="240" w:lineRule="auto"/>
        <w:ind w:left="555"/>
        <w:rPr>
          <w:rFonts w:eastAsia="Times New Roman"/>
          <w:b/>
          <w:sz w:val="20"/>
          <w:szCs w:val="20"/>
        </w:rPr>
      </w:pPr>
    </w:p>
    <w:p w:rsidR="00910E0C" w:rsidRDefault="00910E0C" w:rsidP="00910E0C">
      <w:pPr>
        <w:spacing w:after="0" w:line="240" w:lineRule="auto"/>
        <w:ind w:left="555"/>
        <w:rPr>
          <w:rFonts w:eastAsia="Times New Roman"/>
          <w:b/>
          <w:sz w:val="20"/>
          <w:szCs w:val="20"/>
        </w:rPr>
      </w:pPr>
    </w:p>
    <w:p w:rsidR="00910E0C" w:rsidRPr="00F84245" w:rsidRDefault="00910E0C" w:rsidP="00910E0C">
      <w:pPr>
        <w:spacing w:after="0" w:line="240" w:lineRule="auto"/>
        <w:ind w:left="555"/>
        <w:rPr>
          <w:rFonts w:eastAsia="Times New Roman"/>
          <w:b/>
          <w:sz w:val="20"/>
          <w:szCs w:val="20"/>
        </w:rPr>
      </w:pPr>
    </w:p>
    <w:p w:rsidR="00910E0C" w:rsidRPr="00BF5323" w:rsidRDefault="00910E0C" w:rsidP="00910E0C">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910E0C" w:rsidRPr="00D62915" w:rsidRDefault="00910E0C" w:rsidP="00910E0C"/>
    <w:p w:rsidR="00D81ADE" w:rsidRPr="00D62915" w:rsidRDefault="00D81ADE" w:rsidP="00D62915"/>
    <w:sectPr w:rsidR="00D81ADE" w:rsidRPr="00D62915" w:rsidSect="004E5B7B">
      <w:headerReference w:type="even" r:id="rId8"/>
      <w:headerReference w:type="default" r:id="rId9"/>
      <w:footerReference w:type="even" r:id="rId10"/>
      <w:footerReference w:type="default" r:id="rId11"/>
      <w:headerReference w:type="first" r:id="rId12"/>
      <w:footerReference w:type="first" r:id="rId13"/>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6137" w:rsidRDefault="00956137">
      <w:pPr>
        <w:spacing w:after="0" w:line="240" w:lineRule="auto"/>
      </w:pPr>
      <w:r>
        <w:separator/>
      </w:r>
    </w:p>
  </w:endnote>
  <w:endnote w:type="continuationSeparator" w:id="0">
    <w:p w:rsidR="00956137" w:rsidRDefault="00956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1C9" w:rsidRDefault="006541C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956137"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910E0C"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6541C9" w:rsidP="00197A2C">
          <w:pPr>
            <w:pStyle w:val="Footer"/>
            <w:contextualSpacing/>
            <w:rPr>
              <w:rFonts w:cs="Arial"/>
              <w:color w:val="636669"/>
              <w:sz w:val="18"/>
              <w:szCs w:val="18"/>
            </w:rPr>
          </w:pPr>
          <w:r>
            <w:rPr>
              <w:rFonts w:cs="Arial"/>
              <w:color w:val="636669"/>
              <w:sz w:val="18"/>
              <w:szCs w:val="18"/>
            </w:rPr>
            <w:t>CSI3952R1-0</w:t>
          </w:r>
        </w:p>
      </w:tc>
      <w:tc>
        <w:tcPr>
          <w:tcW w:w="5100" w:type="dxa"/>
          <w:shd w:val="clear" w:color="auto" w:fill="auto"/>
          <w:vAlign w:val="center"/>
        </w:tcPr>
        <w:p w:rsidR="004E5B7B" w:rsidRPr="008F041B" w:rsidRDefault="00910E0C"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F75EFB">
            <w:rPr>
              <w:rFonts w:cs="Arial"/>
              <w:noProof/>
              <w:color w:val="636669"/>
              <w:sz w:val="18"/>
              <w:szCs w:val="18"/>
            </w:rPr>
            <w:t>4</w:t>
          </w:r>
          <w:r w:rsidRPr="008F041B">
            <w:rPr>
              <w:rFonts w:cs="Arial"/>
              <w:color w:val="636669"/>
              <w:sz w:val="18"/>
              <w:szCs w:val="18"/>
            </w:rPr>
            <w:fldChar w:fldCharType="end"/>
          </w:r>
        </w:p>
      </w:tc>
    </w:tr>
  </w:tbl>
  <w:p w:rsidR="00E4578C" w:rsidRDefault="00956137"/>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956137">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910E0C"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6541C9" w:rsidP="00197A2C">
          <w:pPr>
            <w:pStyle w:val="Footer"/>
            <w:spacing w:before="100" w:beforeAutospacing="1" w:after="100" w:afterAutospacing="1"/>
            <w:rPr>
              <w:rFonts w:cs="Arial"/>
              <w:color w:val="636669"/>
              <w:sz w:val="18"/>
              <w:szCs w:val="18"/>
            </w:rPr>
          </w:pPr>
          <w:r>
            <w:rPr>
              <w:rFonts w:cs="Arial"/>
              <w:color w:val="636669"/>
              <w:sz w:val="18"/>
              <w:szCs w:val="18"/>
            </w:rPr>
            <w:t>CSI3952R1-0</w:t>
          </w:r>
        </w:p>
      </w:tc>
      <w:tc>
        <w:tcPr>
          <w:tcW w:w="5220" w:type="dxa"/>
          <w:shd w:val="clear" w:color="auto" w:fill="auto"/>
          <w:vAlign w:val="center"/>
        </w:tcPr>
        <w:p w:rsidR="00A17564" w:rsidRPr="008F041B" w:rsidRDefault="00910E0C"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F75EFB">
            <w:rPr>
              <w:rFonts w:cs="Arial"/>
              <w:noProof/>
              <w:color w:val="636669"/>
              <w:sz w:val="18"/>
              <w:szCs w:val="18"/>
            </w:rPr>
            <w:t>1</w:t>
          </w:r>
          <w:r w:rsidRPr="008F041B">
            <w:rPr>
              <w:rFonts w:cs="Arial"/>
              <w:color w:val="636669"/>
              <w:sz w:val="18"/>
              <w:szCs w:val="18"/>
            </w:rPr>
            <w:fldChar w:fldCharType="end"/>
          </w:r>
        </w:p>
      </w:tc>
    </w:tr>
  </w:tbl>
  <w:p w:rsidR="00E4578C" w:rsidRDefault="00956137"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6137" w:rsidRDefault="00956137">
      <w:pPr>
        <w:spacing w:after="0" w:line="240" w:lineRule="auto"/>
      </w:pPr>
      <w:r>
        <w:separator/>
      </w:r>
    </w:p>
  </w:footnote>
  <w:footnote w:type="continuationSeparator" w:id="0">
    <w:p w:rsidR="00956137" w:rsidRDefault="009561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1C9" w:rsidRDefault="006541C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41C9" w:rsidRDefault="006541C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910E0C" w:rsidP="00406FEE">
    <w:pPr>
      <w:pStyle w:val="Header"/>
      <w:spacing w:after="360"/>
    </w:pPr>
    <w:r>
      <w:rPr>
        <w:noProof/>
      </w:rPr>
      <w:drawing>
        <wp:inline distT="0" distB="0" distL="0" distR="0" wp14:anchorId="412E69CA" wp14:editId="2C9D3F47">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0">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1"/>
  </w:num>
  <w:num w:numId="4">
    <w:abstractNumId w:val="9"/>
  </w:num>
  <w:num w:numId="5">
    <w:abstractNumId w:val="20"/>
  </w:num>
  <w:num w:numId="6">
    <w:abstractNumId w:val="5"/>
  </w:num>
  <w:num w:numId="7">
    <w:abstractNumId w:val="0"/>
  </w:num>
  <w:num w:numId="8">
    <w:abstractNumId w:val="16"/>
  </w:num>
  <w:num w:numId="9">
    <w:abstractNumId w:val="15"/>
  </w:num>
  <w:num w:numId="10">
    <w:abstractNumId w:val="1"/>
  </w:num>
  <w:num w:numId="11">
    <w:abstractNumId w:val="19"/>
  </w:num>
  <w:num w:numId="12">
    <w:abstractNumId w:val="14"/>
  </w:num>
  <w:num w:numId="13">
    <w:abstractNumId w:val="17"/>
  </w:num>
  <w:num w:numId="14">
    <w:abstractNumId w:val="21"/>
  </w:num>
  <w:num w:numId="15">
    <w:abstractNumId w:val="2"/>
  </w:num>
  <w:num w:numId="16">
    <w:abstractNumId w:val="4"/>
  </w:num>
  <w:num w:numId="17">
    <w:abstractNumId w:val="13"/>
  </w:num>
  <w:num w:numId="18">
    <w:abstractNumId w:val="10"/>
  </w:num>
  <w:num w:numId="19">
    <w:abstractNumId w:val="7"/>
  </w:num>
  <w:num w:numId="20">
    <w:abstractNumId w:val="6"/>
  </w:num>
  <w:num w:numId="21">
    <w:abstractNumId w:val="8"/>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E0C"/>
    <w:rsid w:val="00275F7D"/>
    <w:rsid w:val="002E32D4"/>
    <w:rsid w:val="0032236D"/>
    <w:rsid w:val="00485E7A"/>
    <w:rsid w:val="006541C9"/>
    <w:rsid w:val="006D4BE0"/>
    <w:rsid w:val="00785D7A"/>
    <w:rsid w:val="007A5B0B"/>
    <w:rsid w:val="008D5AD0"/>
    <w:rsid w:val="008D6EDE"/>
    <w:rsid w:val="00910E0C"/>
    <w:rsid w:val="00956137"/>
    <w:rsid w:val="00B01424"/>
    <w:rsid w:val="00B646AC"/>
    <w:rsid w:val="00B94E78"/>
    <w:rsid w:val="00C45C7C"/>
    <w:rsid w:val="00D62915"/>
    <w:rsid w:val="00D81ADE"/>
    <w:rsid w:val="00E37C65"/>
    <w:rsid w:val="00F75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0C"/>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910E0C"/>
    <w:pPr>
      <w:tabs>
        <w:tab w:val="center" w:pos="4680"/>
        <w:tab w:val="right" w:pos="9360"/>
      </w:tabs>
      <w:spacing w:after="0" w:line="240" w:lineRule="auto"/>
    </w:pPr>
  </w:style>
  <w:style w:type="character" w:customStyle="1" w:styleId="HeaderChar">
    <w:name w:val="Header Char"/>
    <w:basedOn w:val="DefaultParagraphFont"/>
    <w:link w:val="Header"/>
    <w:rsid w:val="00910E0C"/>
    <w:rPr>
      <w:rFonts w:ascii="Arial" w:eastAsia="Calibri" w:hAnsi="Arial" w:cs="Times New Roman"/>
    </w:rPr>
  </w:style>
  <w:style w:type="paragraph" w:styleId="Footer">
    <w:name w:val="footer"/>
    <w:basedOn w:val="Normal"/>
    <w:link w:val="FooterChar"/>
    <w:uiPriority w:val="99"/>
    <w:unhideWhenUsed/>
    <w:rsid w:val="0091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E0C"/>
    <w:rPr>
      <w:rFonts w:ascii="Arial" w:eastAsia="Calibri" w:hAnsi="Arial" w:cs="Times New Roman"/>
    </w:rPr>
  </w:style>
  <w:style w:type="paragraph" w:styleId="BalloonText">
    <w:name w:val="Balloon Text"/>
    <w:basedOn w:val="Normal"/>
    <w:link w:val="BalloonTextChar"/>
    <w:uiPriority w:val="99"/>
    <w:semiHidden/>
    <w:unhideWhenUsed/>
    <w:rsid w:val="0091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0C"/>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910E0C"/>
    <w:pPr>
      <w:tabs>
        <w:tab w:val="center" w:pos="4680"/>
        <w:tab w:val="right" w:pos="9360"/>
      </w:tabs>
      <w:spacing w:after="0" w:line="240" w:lineRule="auto"/>
    </w:pPr>
  </w:style>
  <w:style w:type="character" w:customStyle="1" w:styleId="HeaderChar">
    <w:name w:val="Header Char"/>
    <w:basedOn w:val="DefaultParagraphFont"/>
    <w:link w:val="Header"/>
    <w:rsid w:val="00910E0C"/>
    <w:rPr>
      <w:rFonts w:ascii="Arial" w:eastAsia="Calibri" w:hAnsi="Arial" w:cs="Times New Roman"/>
    </w:rPr>
  </w:style>
  <w:style w:type="paragraph" w:styleId="Footer">
    <w:name w:val="footer"/>
    <w:basedOn w:val="Normal"/>
    <w:link w:val="FooterChar"/>
    <w:uiPriority w:val="99"/>
    <w:unhideWhenUsed/>
    <w:rsid w:val="0091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E0C"/>
    <w:rPr>
      <w:rFonts w:ascii="Arial" w:eastAsia="Calibri" w:hAnsi="Arial" w:cs="Times New Roman"/>
    </w:rPr>
  </w:style>
  <w:style w:type="paragraph" w:styleId="BalloonText">
    <w:name w:val="Balloon Text"/>
    <w:basedOn w:val="Normal"/>
    <w:link w:val="BalloonTextChar"/>
    <w:uiPriority w:val="99"/>
    <w:semiHidden/>
    <w:unhideWhenUsed/>
    <w:rsid w:val="0091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1728</Words>
  <Characters>9852</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11557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dcterms:created xsi:type="dcterms:W3CDTF">2016-09-23T18:24:00Z</dcterms:created>
  <dcterms:modified xsi:type="dcterms:W3CDTF">2016-09-23T18:24:00Z</dcterms:modified>
</cp:coreProperties>
</file>