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323" w:rsidRPr="00BF5323" w:rsidRDefault="00BF5323" w:rsidP="00BF5323">
      <w:pPr>
        <w:tabs>
          <w:tab w:val="center" w:pos="4320"/>
          <w:tab w:val="right" w:pos="8640"/>
        </w:tabs>
        <w:spacing w:after="0" w:line="240" w:lineRule="auto"/>
        <w:rPr>
          <w:rFonts w:eastAsia="Times New Roman"/>
          <w:b/>
          <w:sz w:val="20"/>
          <w:szCs w:val="20"/>
        </w:rPr>
      </w:pPr>
      <w:r w:rsidRPr="00BF5323">
        <w:rPr>
          <w:rFonts w:eastAsia="Times New Roman"/>
          <w:b/>
          <w:sz w:val="20"/>
          <w:szCs w:val="20"/>
        </w:rPr>
        <w:t>ARCHITECTURAL SPECIFICATION</w:t>
      </w:r>
    </w:p>
    <w:p w:rsidR="00BF5323" w:rsidRPr="00BF5323" w:rsidRDefault="00BF5323" w:rsidP="00BF5323">
      <w:pPr>
        <w:tabs>
          <w:tab w:val="center" w:pos="4320"/>
          <w:tab w:val="right" w:pos="8640"/>
        </w:tabs>
        <w:spacing w:after="0" w:line="240" w:lineRule="auto"/>
        <w:rPr>
          <w:rFonts w:eastAsia="Times New Roman"/>
          <w:b/>
          <w:sz w:val="20"/>
          <w:szCs w:val="20"/>
        </w:rPr>
      </w:pPr>
      <w:r w:rsidRPr="00BF5323">
        <w:rPr>
          <w:rFonts w:eastAsia="Times New Roman"/>
          <w:b/>
          <w:sz w:val="20"/>
          <w:szCs w:val="20"/>
        </w:rPr>
        <w:t xml:space="preserve">VSGX-1 Pedestrian Gate with Electric Lock </w:t>
      </w:r>
    </w:p>
    <w:p w:rsidR="00BF5323" w:rsidRPr="00BF5323" w:rsidRDefault="00BF5323" w:rsidP="00BF5323">
      <w:pPr>
        <w:tabs>
          <w:tab w:val="center" w:pos="4320"/>
          <w:tab w:val="right" w:pos="8640"/>
        </w:tabs>
        <w:spacing w:after="0" w:line="240" w:lineRule="auto"/>
        <w:rPr>
          <w:rFonts w:eastAsia="Times New Roman"/>
          <w:b/>
          <w:sz w:val="20"/>
          <w:szCs w:val="20"/>
        </w:rPr>
      </w:pPr>
    </w:p>
    <w:p w:rsidR="00D87C9A" w:rsidRPr="00741D31" w:rsidRDefault="00741D31" w:rsidP="00D87C9A">
      <w:pPr>
        <w:spacing w:after="0" w:line="240" w:lineRule="auto"/>
        <w:rPr>
          <w:rFonts w:eastAsia="Times New Roman"/>
          <w:i/>
          <w:color w:val="307EBE"/>
          <w:sz w:val="20"/>
          <w:szCs w:val="20"/>
        </w:rPr>
      </w:pPr>
      <w:r>
        <w:rPr>
          <w:rFonts w:eastAsia="Times New Roman"/>
          <w:i/>
          <w:color w:val="307EBE"/>
          <w:sz w:val="20"/>
          <w:szCs w:val="20"/>
        </w:rPr>
        <w:t>(</w:t>
      </w:r>
      <w:r w:rsidR="00D87C9A" w:rsidRPr="00741D31">
        <w:rPr>
          <w:rFonts w:eastAsia="Times New Roman"/>
          <w:i/>
          <w:color w:val="307EBE"/>
          <w:sz w:val="20"/>
          <w:szCs w:val="20"/>
        </w:rPr>
        <w:t>NOTE TO SPECIFIER, SELECT PRODUCT MODEL DEPENDING ON DESIRED INFILL</w:t>
      </w:r>
      <w:r>
        <w:rPr>
          <w:rFonts w:eastAsia="Times New Roman"/>
          <w:i/>
          <w:color w:val="307EBE"/>
          <w:sz w:val="20"/>
          <w:szCs w:val="20"/>
        </w:rPr>
        <w:t>)</w:t>
      </w:r>
    </w:p>
    <w:p w:rsidR="00D87C9A" w:rsidRDefault="00D87C9A" w:rsidP="00D87C9A">
      <w:pPr>
        <w:spacing w:after="0" w:line="240" w:lineRule="auto"/>
        <w:rPr>
          <w:rFonts w:eastAsia="Times New Roman" w:cs="Arial"/>
          <w:b/>
          <w:sz w:val="20"/>
          <w:szCs w:val="20"/>
        </w:rPr>
      </w:pPr>
    </w:p>
    <w:p w:rsidR="00D87C9A" w:rsidRPr="00BF1D76" w:rsidRDefault="00D87C9A" w:rsidP="00D87C9A">
      <w:pPr>
        <w:spacing w:after="0" w:line="240" w:lineRule="auto"/>
        <w:rPr>
          <w:rFonts w:eastAsia="Times New Roman" w:cs="Arial"/>
          <w:b/>
          <w:sz w:val="20"/>
          <w:szCs w:val="20"/>
        </w:rPr>
      </w:pPr>
      <w:r w:rsidRPr="00BF1D76">
        <w:rPr>
          <w:rFonts w:eastAsia="Times New Roman" w:cs="Arial"/>
          <w:b/>
          <w:sz w:val="20"/>
          <w:szCs w:val="20"/>
        </w:rPr>
        <w:t>AVAILABLE FINISHES</w:t>
      </w:r>
    </w:p>
    <w:p w:rsidR="00D87C9A" w:rsidRPr="00BF1D76" w:rsidRDefault="00D87C9A" w:rsidP="00D87C9A">
      <w:pPr>
        <w:spacing w:after="0" w:line="240" w:lineRule="auto"/>
        <w:rPr>
          <w:rFonts w:eastAsia="Times New Roman" w:cs="Arial"/>
          <w:b/>
          <w:sz w:val="20"/>
          <w:szCs w:val="20"/>
        </w:rPr>
      </w:pPr>
      <w:r>
        <w:rPr>
          <w:rFonts w:eastAsia="Times New Roman" w:cs="Arial"/>
          <w:b/>
          <w:sz w:val="20"/>
          <w:szCs w:val="20"/>
        </w:rPr>
        <w:t>VSG</w:t>
      </w:r>
      <w:r w:rsidR="00327E5E">
        <w:rPr>
          <w:rFonts w:eastAsia="Times New Roman" w:cs="Arial"/>
          <w:b/>
          <w:sz w:val="20"/>
          <w:szCs w:val="20"/>
        </w:rPr>
        <w:t>X</w:t>
      </w:r>
      <w:r w:rsidR="00E22532">
        <w:rPr>
          <w:rFonts w:eastAsia="Times New Roman" w:cs="Arial"/>
          <w:b/>
          <w:sz w:val="20"/>
          <w:szCs w:val="20"/>
        </w:rPr>
        <w:t>-1</w:t>
      </w:r>
      <w:r w:rsidRPr="00BF1D76">
        <w:rPr>
          <w:rFonts w:eastAsia="Times New Roman" w:cs="Arial"/>
          <w:b/>
          <w:sz w:val="20"/>
          <w:szCs w:val="20"/>
        </w:rPr>
        <w:t xml:space="preserve"> – </w:t>
      </w:r>
      <w:r>
        <w:rPr>
          <w:rFonts w:eastAsia="Times New Roman" w:cs="Arial"/>
          <w:b/>
          <w:sz w:val="20"/>
          <w:szCs w:val="20"/>
        </w:rPr>
        <w:t>Infill Bars</w:t>
      </w:r>
    </w:p>
    <w:p w:rsidR="00D87C9A" w:rsidRPr="00BF1D76" w:rsidRDefault="00D87C9A" w:rsidP="00D87C9A">
      <w:pPr>
        <w:spacing w:after="0" w:line="240" w:lineRule="auto"/>
        <w:rPr>
          <w:rFonts w:eastAsia="Times New Roman" w:cs="Arial"/>
          <w:b/>
          <w:sz w:val="20"/>
          <w:szCs w:val="20"/>
        </w:rPr>
      </w:pPr>
      <w:r>
        <w:rPr>
          <w:rFonts w:eastAsia="Times New Roman" w:cs="Arial"/>
          <w:b/>
          <w:sz w:val="20"/>
          <w:szCs w:val="20"/>
        </w:rPr>
        <w:t>VSG</w:t>
      </w:r>
      <w:r w:rsidR="00327E5E">
        <w:rPr>
          <w:rFonts w:eastAsia="Times New Roman" w:cs="Arial"/>
          <w:b/>
          <w:sz w:val="20"/>
          <w:szCs w:val="20"/>
        </w:rPr>
        <w:t>X</w:t>
      </w:r>
      <w:r w:rsidR="00E22532">
        <w:rPr>
          <w:rFonts w:eastAsia="Times New Roman" w:cs="Arial"/>
          <w:b/>
          <w:sz w:val="20"/>
          <w:szCs w:val="20"/>
        </w:rPr>
        <w:t>-1</w:t>
      </w:r>
      <w:r>
        <w:rPr>
          <w:rFonts w:eastAsia="Times New Roman" w:cs="Arial"/>
          <w:b/>
          <w:sz w:val="20"/>
          <w:szCs w:val="20"/>
        </w:rPr>
        <w:t xml:space="preserve"> </w:t>
      </w:r>
      <w:r w:rsidRPr="00BF1D76">
        <w:rPr>
          <w:rFonts w:eastAsia="Times New Roman" w:cs="Arial"/>
          <w:b/>
          <w:sz w:val="20"/>
          <w:szCs w:val="20"/>
        </w:rPr>
        <w:t>–</w:t>
      </w:r>
      <w:r>
        <w:rPr>
          <w:rFonts w:eastAsia="Times New Roman" w:cs="Arial"/>
          <w:b/>
          <w:sz w:val="20"/>
          <w:szCs w:val="20"/>
        </w:rPr>
        <w:t xml:space="preserve"> Clear Panel Infill</w:t>
      </w:r>
    </w:p>
    <w:p w:rsidR="00D87C9A" w:rsidRPr="005B2D48" w:rsidRDefault="00D87C9A" w:rsidP="00D87C9A">
      <w:pPr>
        <w:tabs>
          <w:tab w:val="center" w:pos="4320"/>
          <w:tab w:val="right" w:pos="8640"/>
        </w:tabs>
        <w:spacing w:after="0" w:line="240" w:lineRule="auto"/>
        <w:rPr>
          <w:rFonts w:eastAsia="Times New Roman"/>
          <w:b/>
          <w:sz w:val="20"/>
          <w:szCs w:val="20"/>
        </w:rPr>
      </w:pPr>
    </w:p>
    <w:p w:rsidR="00D87C9A" w:rsidRPr="005B2D48" w:rsidRDefault="00D87C9A" w:rsidP="00D87C9A">
      <w:pPr>
        <w:keepNext/>
        <w:spacing w:after="0" w:line="240" w:lineRule="auto"/>
        <w:outlineLvl w:val="0"/>
        <w:rPr>
          <w:rFonts w:eastAsia="Times New Roman"/>
          <w:b/>
          <w:sz w:val="20"/>
          <w:szCs w:val="20"/>
        </w:rPr>
      </w:pPr>
      <w:r w:rsidRPr="005B2D48">
        <w:rPr>
          <w:rFonts w:eastAsia="Times New Roman"/>
          <w:b/>
          <w:sz w:val="20"/>
          <w:szCs w:val="20"/>
        </w:rPr>
        <w:t xml:space="preserve">SECTION 11 14 00 – Pedestrian Control Equipment </w:t>
      </w:r>
    </w:p>
    <w:p w:rsidR="00D87C9A" w:rsidRPr="005B2D48" w:rsidRDefault="00D87C9A" w:rsidP="00D87C9A">
      <w:pPr>
        <w:spacing w:after="0" w:line="240" w:lineRule="auto"/>
        <w:rPr>
          <w:rFonts w:eastAsia="Times New Roman"/>
          <w:b/>
          <w:sz w:val="20"/>
          <w:szCs w:val="20"/>
        </w:rPr>
      </w:pPr>
    </w:p>
    <w:p w:rsidR="00D87C9A" w:rsidRPr="005B2D48" w:rsidRDefault="00D87C9A" w:rsidP="00D87C9A">
      <w:pPr>
        <w:keepNext/>
        <w:spacing w:after="0" w:line="240" w:lineRule="auto"/>
        <w:outlineLvl w:val="1"/>
        <w:rPr>
          <w:rFonts w:eastAsia="Times New Roman"/>
          <w:b/>
          <w:sz w:val="20"/>
          <w:szCs w:val="20"/>
          <w:u w:val="single"/>
        </w:rPr>
      </w:pPr>
      <w:r w:rsidRPr="005B2D48">
        <w:rPr>
          <w:rFonts w:eastAsia="Times New Roman"/>
          <w:b/>
          <w:sz w:val="20"/>
          <w:szCs w:val="20"/>
          <w:u w:val="single"/>
        </w:rPr>
        <w:t>PART I – GENERAL</w:t>
      </w:r>
    </w:p>
    <w:p w:rsidR="00D87C9A" w:rsidRPr="005B2D48" w:rsidRDefault="00D87C9A" w:rsidP="00D87C9A">
      <w:pPr>
        <w:spacing w:after="0" w:line="240" w:lineRule="auto"/>
        <w:rPr>
          <w:rFonts w:eastAsia="Times New Roman"/>
          <w:sz w:val="20"/>
          <w:szCs w:val="20"/>
        </w:rPr>
      </w:pPr>
    </w:p>
    <w:p w:rsidR="00D87C9A" w:rsidRPr="005B2D48" w:rsidRDefault="00D87C9A" w:rsidP="00D87C9A">
      <w:pPr>
        <w:numPr>
          <w:ilvl w:val="1"/>
          <w:numId w:val="17"/>
        </w:numPr>
        <w:spacing w:after="0" w:line="240" w:lineRule="auto"/>
        <w:rPr>
          <w:rFonts w:eastAsia="Times New Roman"/>
          <w:b/>
          <w:sz w:val="20"/>
          <w:szCs w:val="20"/>
        </w:rPr>
      </w:pPr>
      <w:r w:rsidRPr="005B2D48">
        <w:rPr>
          <w:rFonts w:eastAsia="Times New Roman"/>
          <w:b/>
          <w:sz w:val="20"/>
          <w:szCs w:val="20"/>
        </w:rPr>
        <w:t>SECTION INCLUDES</w:t>
      </w:r>
    </w:p>
    <w:p w:rsidR="00D87C9A" w:rsidRPr="005B2D48" w:rsidRDefault="00D87C9A" w:rsidP="00D87C9A">
      <w:pPr>
        <w:numPr>
          <w:ilvl w:val="0"/>
          <w:numId w:val="12"/>
        </w:numPr>
        <w:spacing w:after="120" w:line="240" w:lineRule="auto"/>
        <w:ind w:left="547"/>
        <w:rPr>
          <w:rFonts w:eastAsia="Times New Roman"/>
          <w:sz w:val="20"/>
          <w:szCs w:val="20"/>
        </w:rPr>
      </w:pPr>
      <w:r w:rsidRPr="005B2D48">
        <w:rPr>
          <w:rFonts w:eastAsia="Times New Roman"/>
          <w:sz w:val="20"/>
          <w:szCs w:val="20"/>
        </w:rPr>
        <w:t>This section covers the furnishing and installation of a VSG</w:t>
      </w:r>
      <w:r w:rsidR="00327E5E">
        <w:rPr>
          <w:rFonts w:eastAsia="Times New Roman"/>
          <w:sz w:val="20"/>
          <w:szCs w:val="20"/>
        </w:rPr>
        <w:t>X</w:t>
      </w:r>
      <w:r>
        <w:rPr>
          <w:rFonts w:eastAsia="Times New Roman"/>
          <w:sz w:val="20"/>
          <w:szCs w:val="20"/>
        </w:rPr>
        <w:t>-1</w:t>
      </w:r>
      <w:r w:rsidRPr="005B2D48">
        <w:rPr>
          <w:rFonts w:eastAsia="Times New Roman"/>
          <w:sz w:val="20"/>
          <w:szCs w:val="20"/>
        </w:rPr>
        <w:t xml:space="preserve"> pedestrian gate with </w:t>
      </w:r>
      <w:r>
        <w:rPr>
          <w:rFonts w:eastAsia="Times New Roman"/>
          <w:sz w:val="20"/>
          <w:szCs w:val="20"/>
        </w:rPr>
        <w:t xml:space="preserve">electric lock control and </w:t>
      </w:r>
      <w:r w:rsidRPr="005B2D48">
        <w:rPr>
          <w:rFonts w:eastAsia="Times New Roman"/>
          <w:sz w:val="20"/>
          <w:szCs w:val="20"/>
        </w:rPr>
        <w:t xml:space="preserve">36” opening. </w:t>
      </w:r>
    </w:p>
    <w:p w:rsidR="00D87C9A" w:rsidRPr="00C73980" w:rsidRDefault="00D87C9A" w:rsidP="00D87C9A">
      <w:pPr>
        <w:numPr>
          <w:ilvl w:val="0"/>
          <w:numId w:val="12"/>
        </w:numPr>
        <w:spacing w:after="0" w:line="240" w:lineRule="auto"/>
        <w:rPr>
          <w:rFonts w:eastAsia="Times New Roman"/>
          <w:sz w:val="20"/>
          <w:szCs w:val="20"/>
        </w:rPr>
      </w:pPr>
      <w:r w:rsidRPr="00C73980">
        <w:rPr>
          <w:rFonts w:eastAsia="Times New Roman"/>
          <w:sz w:val="20"/>
          <w:szCs w:val="20"/>
        </w:rPr>
        <w:t xml:space="preserve">For further information, </w:t>
      </w:r>
      <w:r>
        <w:rPr>
          <w:rFonts w:eastAsia="Times New Roman"/>
          <w:sz w:val="20"/>
          <w:szCs w:val="20"/>
        </w:rPr>
        <w:t xml:space="preserve">contact Alvarado at </w:t>
      </w:r>
      <w:r w:rsidRPr="00C73980">
        <w:rPr>
          <w:rFonts w:eastAsia="Times New Roman"/>
          <w:sz w:val="20"/>
          <w:szCs w:val="20"/>
        </w:rPr>
        <w:t>+1 909.423.4143</w:t>
      </w:r>
      <w:r>
        <w:rPr>
          <w:rFonts w:eastAsia="Times New Roman"/>
          <w:sz w:val="20"/>
          <w:szCs w:val="20"/>
        </w:rPr>
        <w:t>, or email information@alvaradomfg.com</w:t>
      </w:r>
      <w:r w:rsidRPr="00C73980">
        <w:rPr>
          <w:rFonts w:eastAsia="Times New Roman"/>
          <w:sz w:val="20"/>
          <w:szCs w:val="20"/>
        </w:rPr>
        <w:t>.</w:t>
      </w:r>
    </w:p>
    <w:p w:rsidR="00D87C9A" w:rsidRPr="00C73980" w:rsidRDefault="00D87C9A" w:rsidP="00D87C9A">
      <w:pPr>
        <w:spacing w:after="0" w:line="240" w:lineRule="auto"/>
        <w:ind w:left="180"/>
        <w:rPr>
          <w:rFonts w:eastAsia="Times New Roman"/>
          <w:sz w:val="20"/>
          <w:szCs w:val="20"/>
        </w:rPr>
      </w:pPr>
    </w:p>
    <w:p w:rsidR="00D87C9A" w:rsidRPr="00C73980" w:rsidRDefault="00D87C9A" w:rsidP="00D87C9A">
      <w:pPr>
        <w:numPr>
          <w:ilvl w:val="1"/>
          <w:numId w:val="17"/>
        </w:numPr>
        <w:spacing w:after="0" w:line="240" w:lineRule="auto"/>
        <w:rPr>
          <w:rFonts w:eastAsia="Times New Roman"/>
          <w:b/>
          <w:sz w:val="20"/>
          <w:szCs w:val="20"/>
        </w:rPr>
      </w:pPr>
      <w:r w:rsidRPr="00C73980">
        <w:rPr>
          <w:rFonts w:eastAsia="Times New Roman"/>
          <w:b/>
          <w:sz w:val="20"/>
          <w:szCs w:val="20"/>
        </w:rPr>
        <w:t>QUALITY ASSURANCE</w:t>
      </w:r>
    </w:p>
    <w:p w:rsidR="00D87C9A" w:rsidRPr="00C73980" w:rsidRDefault="00D87C9A" w:rsidP="00D87C9A">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D87C9A" w:rsidRPr="00C73980" w:rsidRDefault="00D87C9A" w:rsidP="00D87C9A">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D87C9A" w:rsidRPr="00C73980" w:rsidRDefault="00D87C9A" w:rsidP="00D87C9A">
      <w:pPr>
        <w:spacing w:after="0" w:line="240" w:lineRule="auto"/>
        <w:ind w:left="180"/>
        <w:rPr>
          <w:rFonts w:eastAsia="Times New Roman"/>
          <w:sz w:val="20"/>
          <w:szCs w:val="20"/>
        </w:rPr>
      </w:pPr>
    </w:p>
    <w:p w:rsidR="00D87C9A" w:rsidRPr="00C73980" w:rsidRDefault="00D87C9A" w:rsidP="00D87C9A">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D87C9A" w:rsidRPr="00BF1D76" w:rsidRDefault="00D87C9A" w:rsidP="00D87C9A">
      <w:pPr>
        <w:numPr>
          <w:ilvl w:val="0"/>
          <w:numId w:val="43"/>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D87C9A" w:rsidRPr="00BF1D76" w:rsidRDefault="00D87C9A" w:rsidP="00D87C9A">
      <w:pPr>
        <w:numPr>
          <w:ilvl w:val="0"/>
          <w:numId w:val="43"/>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D87C9A" w:rsidRPr="00BF1D76" w:rsidRDefault="00D87C9A" w:rsidP="00D87C9A">
      <w:pPr>
        <w:numPr>
          <w:ilvl w:val="0"/>
          <w:numId w:val="43"/>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D87C9A" w:rsidRPr="00C73980" w:rsidRDefault="00D87C9A" w:rsidP="00D87C9A">
      <w:pPr>
        <w:spacing w:after="0" w:line="240" w:lineRule="auto"/>
        <w:ind w:left="180"/>
        <w:rPr>
          <w:rFonts w:eastAsia="Times New Roman"/>
          <w:sz w:val="20"/>
          <w:szCs w:val="20"/>
        </w:rPr>
      </w:pPr>
    </w:p>
    <w:p w:rsidR="00D87C9A" w:rsidRPr="00C73980" w:rsidRDefault="00D87C9A" w:rsidP="00D87C9A">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D87C9A" w:rsidRPr="00BF1D76" w:rsidRDefault="00D87C9A" w:rsidP="00D87C9A">
      <w:pPr>
        <w:numPr>
          <w:ilvl w:val="0"/>
          <w:numId w:val="44"/>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D87C9A" w:rsidRPr="00BF1D76" w:rsidRDefault="00D87C9A" w:rsidP="00D87C9A">
      <w:pPr>
        <w:numPr>
          <w:ilvl w:val="0"/>
          <w:numId w:val="44"/>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D87C9A" w:rsidRPr="00BF1D76" w:rsidRDefault="00D87C9A" w:rsidP="00D87C9A">
      <w:pPr>
        <w:numPr>
          <w:ilvl w:val="0"/>
          <w:numId w:val="44"/>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D87C9A" w:rsidRPr="00C73980" w:rsidRDefault="00D87C9A" w:rsidP="00D87C9A">
      <w:pPr>
        <w:spacing w:after="0" w:line="240" w:lineRule="auto"/>
        <w:ind w:left="180"/>
        <w:rPr>
          <w:rFonts w:eastAsia="Times New Roman"/>
          <w:sz w:val="20"/>
          <w:szCs w:val="20"/>
        </w:rPr>
      </w:pPr>
    </w:p>
    <w:p w:rsidR="00D87C9A" w:rsidRPr="00C73980" w:rsidRDefault="00D87C9A" w:rsidP="00D87C9A">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D87C9A" w:rsidRPr="00C73980" w:rsidRDefault="00D87C9A" w:rsidP="00D87C9A">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D87C9A" w:rsidRPr="00C73980" w:rsidRDefault="00D87C9A" w:rsidP="00D87C9A">
      <w:pPr>
        <w:spacing w:after="0" w:line="240" w:lineRule="auto"/>
        <w:rPr>
          <w:rFonts w:eastAsia="Times New Roman"/>
          <w:sz w:val="20"/>
          <w:szCs w:val="20"/>
        </w:rPr>
      </w:pPr>
    </w:p>
    <w:p w:rsidR="00D87C9A" w:rsidRPr="00C73980" w:rsidRDefault="00D87C9A" w:rsidP="00D87C9A">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BF5323" w:rsidRPr="00BF5323" w:rsidRDefault="00D87C9A" w:rsidP="00D87C9A">
      <w:pPr>
        <w:spacing w:after="0" w:line="240" w:lineRule="auto"/>
        <w:ind w:left="570"/>
        <w:rPr>
          <w:rFonts w:eastAsia="Times New Roman"/>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r w:rsidR="00BF5323" w:rsidRPr="00BF5323">
        <w:rPr>
          <w:rFonts w:eastAsia="Times New Roman"/>
          <w:sz w:val="20"/>
          <w:szCs w:val="20"/>
        </w:rPr>
        <w:t xml:space="preserve"> </w:t>
      </w:r>
    </w:p>
    <w:p w:rsidR="00BF5323" w:rsidRPr="00BF5323" w:rsidRDefault="00BF5323" w:rsidP="00BF5323">
      <w:pPr>
        <w:spacing w:after="0" w:line="240" w:lineRule="auto"/>
        <w:ind w:left="570"/>
        <w:rPr>
          <w:rFonts w:eastAsia="Times New Roman"/>
          <w:sz w:val="20"/>
          <w:szCs w:val="20"/>
        </w:rPr>
      </w:pPr>
    </w:p>
    <w:p w:rsidR="00BF5323" w:rsidRPr="00BF5323" w:rsidRDefault="00BF5323" w:rsidP="00BF5323">
      <w:pPr>
        <w:spacing w:after="0" w:line="240" w:lineRule="auto"/>
        <w:rPr>
          <w:rFonts w:eastAsia="Times New Roman"/>
          <w:b/>
          <w:sz w:val="20"/>
          <w:szCs w:val="20"/>
          <w:u w:val="single"/>
        </w:rPr>
      </w:pPr>
      <w:r w:rsidRPr="00BF5323">
        <w:rPr>
          <w:rFonts w:eastAsia="Times New Roman"/>
          <w:b/>
          <w:sz w:val="20"/>
          <w:szCs w:val="20"/>
          <w:u w:val="single"/>
        </w:rPr>
        <w:t>PART II – PRODUCTS</w:t>
      </w:r>
    </w:p>
    <w:p w:rsidR="00BF5323" w:rsidRPr="00BF5323" w:rsidRDefault="00BF5323" w:rsidP="00BF5323">
      <w:pPr>
        <w:spacing w:after="0" w:line="240" w:lineRule="auto"/>
        <w:rPr>
          <w:rFonts w:eastAsia="Times New Roman"/>
          <w:sz w:val="20"/>
          <w:szCs w:val="20"/>
        </w:rPr>
      </w:pPr>
    </w:p>
    <w:p w:rsidR="00BF5323" w:rsidRPr="00BF5323" w:rsidRDefault="00BF5323" w:rsidP="00BF5323">
      <w:pPr>
        <w:numPr>
          <w:ilvl w:val="1"/>
          <w:numId w:val="16"/>
        </w:numPr>
        <w:spacing w:after="0" w:line="240" w:lineRule="auto"/>
        <w:rPr>
          <w:rFonts w:eastAsia="Times New Roman"/>
          <w:b/>
          <w:sz w:val="20"/>
          <w:szCs w:val="20"/>
        </w:rPr>
      </w:pPr>
      <w:r w:rsidRPr="00BF5323">
        <w:rPr>
          <w:rFonts w:eastAsia="Times New Roman"/>
          <w:b/>
          <w:sz w:val="20"/>
          <w:szCs w:val="20"/>
        </w:rPr>
        <w:t>MANUFACTURER</w:t>
      </w:r>
    </w:p>
    <w:p w:rsidR="00BF5323" w:rsidRPr="00BF5323" w:rsidRDefault="00BF5323" w:rsidP="00BF5323">
      <w:pPr>
        <w:spacing w:after="0" w:line="240" w:lineRule="auto"/>
        <w:ind w:left="555"/>
        <w:rPr>
          <w:rFonts w:eastAsia="Times New Roman"/>
          <w:sz w:val="20"/>
          <w:szCs w:val="20"/>
        </w:rPr>
      </w:pPr>
      <w:r w:rsidRPr="00BF5323">
        <w:rPr>
          <w:rFonts w:eastAsia="Times New Roman"/>
          <w:sz w:val="20"/>
          <w:szCs w:val="20"/>
        </w:rPr>
        <w:t xml:space="preserve">Alvarado Mfg. Co., Inc. </w:t>
      </w:r>
      <w:smartTag w:uri="urn:schemas-microsoft-com:office:smarttags" w:element="address">
        <w:smartTag w:uri="urn:schemas-microsoft-com:office:smarttags" w:element="Street">
          <w:r w:rsidRPr="00BF5323">
            <w:rPr>
              <w:rFonts w:eastAsia="Times New Roman"/>
              <w:sz w:val="20"/>
              <w:szCs w:val="20"/>
            </w:rPr>
            <w:t>12660 Colony Street</w:t>
          </w:r>
        </w:smartTag>
        <w:r w:rsidRPr="00BF5323">
          <w:rPr>
            <w:rFonts w:eastAsia="Times New Roman"/>
            <w:sz w:val="20"/>
            <w:szCs w:val="20"/>
          </w:rPr>
          <w:t xml:space="preserve">, </w:t>
        </w:r>
        <w:smartTag w:uri="urn:schemas-microsoft-com:office:smarttags" w:element="City">
          <w:r w:rsidRPr="00BF5323">
            <w:rPr>
              <w:rFonts w:eastAsia="Times New Roman"/>
              <w:sz w:val="20"/>
              <w:szCs w:val="20"/>
            </w:rPr>
            <w:t>Chino</w:t>
          </w:r>
        </w:smartTag>
        <w:r w:rsidRPr="00BF5323">
          <w:rPr>
            <w:rFonts w:eastAsia="Times New Roman"/>
            <w:sz w:val="20"/>
            <w:szCs w:val="20"/>
          </w:rPr>
          <w:t xml:space="preserve">, </w:t>
        </w:r>
        <w:smartTag w:uri="urn:schemas-microsoft-com:office:smarttags" w:element="State">
          <w:r w:rsidRPr="00BF5323">
            <w:rPr>
              <w:rFonts w:eastAsia="Times New Roman"/>
              <w:sz w:val="20"/>
              <w:szCs w:val="20"/>
            </w:rPr>
            <w:t>CA</w:t>
          </w:r>
        </w:smartTag>
        <w:r w:rsidRPr="00BF5323">
          <w:rPr>
            <w:rFonts w:eastAsia="Times New Roman"/>
            <w:sz w:val="20"/>
            <w:szCs w:val="20"/>
          </w:rPr>
          <w:t xml:space="preserve"> </w:t>
        </w:r>
        <w:smartTag w:uri="urn:schemas-microsoft-com:office:smarttags" w:element="PostalCode">
          <w:r w:rsidRPr="00BF5323">
            <w:rPr>
              <w:rFonts w:eastAsia="Times New Roman"/>
              <w:sz w:val="20"/>
              <w:szCs w:val="20"/>
            </w:rPr>
            <w:t>91710</w:t>
          </w:r>
        </w:smartTag>
      </w:smartTag>
      <w:r w:rsidRPr="00BF5323">
        <w:rPr>
          <w:rFonts w:eastAsia="Times New Roman"/>
          <w:sz w:val="20"/>
          <w:szCs w:val="20"/>
        </w:rPr>
        <w:t>.</w:t>
      </w:r>
    </w:p>
    <w:p w:rsidR="00BF5323" w:rsidRPr="00BF5323" w:rsidRDefault="00BF5323" w:rsidP="00BF5323">
      <w:pPr>
        <w:spacing w:after="0" w:line="240" w:lineRule="auto"/>
        <w:rPr>
          <w:rFonts w:eastAsia="Times New Roman"/>
          <w:sz w:val="20"/>
          <w:szCs w:val="20"/>
        </w:rPr>
      </w:pPr>
    </w:p>
    <w:p w:rsidR="00BF5323" w:rsidRPr="00BF5323" w:rsidRDefault="00BF5323" w:rsidP="00BF5323">
      <w:pPr>
        <w:numPr>
          <w:ilvl w:val="1"/>
          <w:numId w:val="16"/>
        </w:numPr>
        <w:spacing w:after="0" w:line="240" w:lineRule="auto"/>
        <w:rPr>
          <w:rFonts w:eastAsia="Times New Roman"/>
          <w:b/>
          <w:sz w:val="20"/>
          <w:szCs w:val="20"/>
        </w:rPr>
      </w:pPr>
      <w:r w:rsidRPr="00BF5323">
        <w:rPr>
          <w:rFonts w:eastAsia="Times New Roman"/>
          <w:b/>
          <w:sz w:val="20"/>
          <w:szCs w:val="20"/>
        </w:rPr>
        <w:t>PRODUCT</w:t>
      </w:r>
    </w:p>
    <w:p w:rsidR="00F71739" w:rsidRPr="005B2D48" w:rsidRDefault="00D87C9A" w:rsidP="00F71739">
      <w:pPr>
        <w:spacing w:after="0" w:line="240" w:lineRule="auto"/>
        <w:ind w:left="555"/>
        <w:jc w:val="both"/>
        <w:rPr>
          <w:rFonts w:eastAsia="Times New Roman"/>
          <w:sz w:val="20"/>
          <w:szCs w:val="20"/>
        </w:rPr>
      </w:pPr>
      <w:r>
        <w:rPr>
          <w:rFonts w:eastAsia="Times New Roman"/>
          <w:sz w:val="20"/>
          <w:szCs w:val="20"/>
        </w:rPr>
        <w:t xml:space="preserve">Alvarado </w:t>
      </w:r>
      <w:r w:rsidR="00BF5323" w:rsidRPr="00BF5323">
        <w:rPr>
          <w:rFonts w:eastAsia="Times New Roman"/>
          <w:sz w:val="20"/>
          <w:szCs w:val="20"/>
        </w:rPr>
        <w:t>VSG</w:t>
      </w:r>
      <w:r>
        <w:rPr>
          <w:rFonts w:eastAsia="Times New Roman"/>
          <w:sz w:val="20"/>
          <w:szCs w:val="20"/>
        </w:rPr>
        <w:t>-1</w:t>
      </w:r>
      <w:r w:rsidR="00BF5323" w:rsidRPr="00BF5323">
        <w:rPr>
          <w:rFonts w:eastAsia="Times New Roman"/>
          <w:sz w:val="20"/>
          <w:szCs w:val="20"/>
        </w:rPr>
        <w:t xml:space="preserve"> Pedestrian Gate, no substitutions. </w:t>
      </w:r>
      <w:r w:rsidR="00F71739" w:rsidRPr="005B2D48">
        <w:rPr>
          <w:rFonts w:eastAsia="Times New Roman"/>
          <w:sz w:val="20"/>
          <w:szCs w:val="20"/>
        </w:rPr>
        <w:t xml:space="preserve">VSG Self-Closing Pedestrian Gate, no substitutions. Features of the gate shall include: single direction passage; </w:t>
      </w:r>
      <w:r w:rsidR="00F71739">
        <w:rPr>
          <w:rFonts w:eastAsia="Times New Roman"/>
          <w:sz w:val="20"/>
          <w:szCs w:val="20"/>
        </w:rPr>
        <w:t xml:space="preserve">36” passage width, </w:t>
      </w:r>
      <w:r w:rsidR="003F70AE">
        <w:rPr>
          <w:rFonts w:eastAsia="Times New Roman"/>
          <w:sz w:val="20"/>
          <w:szCs w:val="20"/>
        </w:rPr>
        <w:t xml:space="preserve">12 VDC, 600 lb. holding force magnetic lock and </w:t>
      </w:r>
      <w:r w:rsidR="00F71739">
        <w:rPr>
          <w:rFonts w:eastAsia="Times New Roman"/>
          <w:sz w:val="20"/>
          <w:szCs w:val="20"/>
        </w:rPr>
        <w:t>hydraulic self-closing</w:t>
      </w:r>
      <w:r w:rsidR="00F71739" w:rsidRPr="005B2D48">
        <w:rPr>
          <w:rFonts w:eastAsia="Times New Roman"/>
          <w:sz w:val="20"/>
          <w:szCs w:val="20"/>
        </w:rPr>
        <w:t>.</w:t>
      </w:r>
    </w:p>
    <w:p w:rsidR="00BF5323" w:rsidRPr="00BF5323" w:rsidRDefault="00BF5323" w:rsidP="00BF5323">
      <w:pPr>
        <w:spacing w:after="0" w:line="240" w:lineRule="auto"/>
        <w:ind w:left="555"/>
        <w:jc w:val="both"/>
        <w:rPr>
          <w:rFonts w:eastAsia="Times New Roman"/>
          <w:sz w:val="20"/>
          <w:szCs w:val="20"/>
        </w:rPr>
      </w:pPr>
    </w:p>
    <w:p w:rsidR="00BF5323" w:rsidRPr="00BF5323" w:rsidRDefault="00BF5323" w:rsidP="00BF5323">
      <w:pPr>
        <w:spacing w:after="0" w:line="240" w:lineRule="auto"/>
        <w:rPr>
          <w:rFonts w:eastAsia="Times New Roman"/>
          <w:sz w:val="20"/>
          <w:szCs w:val="20"/>
        </w:rPr>
      </w:pPr>
    </w:p>
    <w:p w:rsidR="00BF5323" w:rsidRPr="00BF5323" w:rsidRDefault="00BF5323" w:rsidP="00BF5323">
      <w:pPr>
        <w:numPr>
          <w:ilvl w:val="1"/>
          <w:numId w:val="16"/>
        </w:numPr>
        <w:spacing w:after="0" w:line="240" w:lineRule="auto"/>
        <w:rPr>
          <w:rFonts w:eastAsia="Times New Roman"/>
          <w:b/>
          <w:sz w:val="20"/>
          <w:szCs w:val="20"/>
        </w:rPr>
      </w:pPr>
      <w:r w:rsidRPr="00BF5323">
        <w:rPr>
          <w:rFonts w:eastAsia="Times New Roman"/>
          <w:b/>
          <w:sz w:val="20"/>
          <w:szCs w:val="20"/>
        </w:rPr>
        <w:t>CONSTRUCTION</w:t>
      </w:r>
    </w:p>
    <w:p w:rsidR="003F70AE" w:rsidRPr="00C73980" w:rsidRDefault="003F70AE" w:rsidP="003F70AE">
      <w:pPr>
        <w:keepNext/>
        <w:numPr>
          <w:ilvl w:val="0"/>
          <w:numId w:val="25"/>
        </w:numPr>
        <w:spacing w:after="0" w:line="240" w:lineRule="auto"/>
        <w:rPr>
          <w:rFonts w:eastAsia="Times New Roman"/>
          <w:sz w:val="20"/>
          <w:szCs w:val="20"/>
        </w:rPr>
      </w:pPr>
      <w:r w:rsidRPr="00C73980">
        <w:rPr>
          <w:rFonts w:eastAsia="Times New Roman"/>
          <w:sz w:val="20"/>
          <w:szCs w:val="20"/>
          <w:u w:val="single"/>
        </w:rPr>
        <w:t>Gate</w:t>
      </w:r>
      <w:r w:rsidRPr="00C73980">
        <w:rPr>
          <w:rFonts w:eastAsia="Times New Roman"/>
          <w:sz w:val="20"/>
          <w:szCs w:val="20"/>
        </w:rPr>
        <w:t>:</w:t>
      </w:r>
    </w:p>
    <w:p w:rsidR="003F70AE" w:rsidRDefault="003F70AE" w:rsidP="003F70AE">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2</w:t>
      </w:r>
      <w:r w:rsidRPr="00C73980">
        <w:rPr>
          <w:rFonts w:eastAsia="Times New Roman"/>
          <w:sz w:val="20"/>
          <w:szCs w:val="20"/>
        </w:rPr>
        <w:t xml:space="preserve">” </w:t>
      </w:r>
      <w:r>
        <w:rPr>
          <w:rFonts w:eastAsia="Times New Roman"/>
          <w:sz w:val="20"/>
          <w:szCs w:val="20"/>
        </w:rPr>
        <w:t xml:space="preserve">square stainless steel tubing with an 8” high kickplate on both sides of the gate. The gate is ordered with square stainless steel infill bas, evenly spaced across the width of the gate, or a clear acrylic panel held in place with glass clips. </w:t>
      </w:r>
    </w:p>
    <w:p w:rsidR="003F70AE" w:rsidRPr="00C73980" w:rsidRDefault="003F70AE" w:rsidP="003F70AE">
      <w:pPr>
        <w:numPr>
          <w:ilvl w:val="0"/>
          <w:numId w:val="25"/>
        </w:numPr>
        <w:spacing w:after="0" w:line="240" w:lineRule="auto"/>
        <w:rPr>
          <w:rFonts w:eastAsia="Times New Roman"/>
          <w:sz w:val="20"/>
          <w:szCs w:val="20"/>
          <w:u w:val="single"/>
        </w:rPr>
      </w:pPr>
      <w:r>
        <w:rPr>
          <w:rFonts w:eastAsia="Times New Roman"/>
          <w:sz w:val="20"/>
          <w:szCs w:val="20"/>
          <w:u w:val="single"/>
        </w:rPr>
        <w:t>Hinge Post and Latch Post</w:t>
      </w:r>
      <w:r w:rsidRPr="00C73980">
        <w:rPr>
          <w:rFonts w:eastAsia="Times New Roman"/>
          <w:sz w:val="20"/>
          <w:szCs w:val="20"/>
        </w:rPr>
        <w:t>:</w:t>
      </w:r>
    </w:p>
    <w:p w:rsidR="003F70AE" w:rsidRPr="00C73980" w:rsidRDefault="003F70AE" w:rsidP="003F70AE">
      <w:pPr>
        <w:numPr>
          <w:ilvl w:val="0"/>
          <w:numId w:val="27"/>
        </w:numPr>
        <w:tabs>
          <w:tab w:val="num" w:pos="1080"/>
        </w:tabs>
        <w:spacing w:after="0" w:line="240" w:lineRule="auto"/>
        <w:ind w:left="1080"/>
        <w:rPr>
          <w:rFonts w:eastAsia="Times New Roman"/>
          <w:sz w:val="20"/>
          <w:szCs w:val="20"/>
        </w:rPr>
      </w:pPr>
      <w:r w:rsidRPr="00C73980">
        <w:rPr>
          <w:rFonts w:eastAsia="Times New Roman"/>
          <w:sz w:val="20"/>
          <w:szCs w:val="20"/>
        </w:rPr>
        <w:t xml:space="preserve">The </w:t>
      </w:r>
      <w:r>
        <w:rPr>
          <w:rFonts w:eastAsia="Times New Roman"/>
          <w:sz w:val="20"/>
          <w:szCs w:val="20"/>
        </w:rPr>
        <w:t>Hinge Post and Latch Post are 2.5” x 2.5” square stainless steel tubing. The posts have a square base plate for anchoring and stainless steel base covers to hide anchoring bolts.</w:t>
      </w:r>
      <w:r w:rsidRPr="00C73980">
        <w:rPr>
          <w:rFonts w:eastAsia="Times New Roman"/>
          <w:sz w:val="20"/>
          <w:szCs w:val="20"/>
        </w:rPr>
        <w:t xml:space="preserve"> </w:t>
      </w:r>
    </w:p>
    <w:p w:rsidR="00BF5323" w:rsidRPr="00BF5323" w:rsidRDefault="00BF5323" w:rsidP="00BF5323">
      <w:pPr>
        <w:spacing w:after="0" w:line="240" w:lineRule="auto"/>
        <w:rPr>
          <w:rFonts w:eastAsia="Times New Roman"/>
          <w:sz w:val="20"/>
          <w:szCs w:val="20"/>
        </w:rPr>
      </w:pPr>
    </w:p>
    <w:p w:rsidR="00BF5323" w:rsidRPr="00BF5323" w:rsidRDefault="00BF5323" w:rsidP="00BF5323">
      <w:pPr>
        <w:numPr>
          <w:ilvl w:val="1"/>
          <w:numId w:val="16"/>
        </w:numPr>
        <w:spacing w:after="0" w:line="240" w:lineRule="auto"/>
        <w:rPr>
          <w:rFonts w:eastAsia="Times New Roman"/>
          <w:b/>
          <w:sz w:val="20"/>
          <w:szCs w:val="20"/>
        </w:rPr>
      </w:pPr>
      <w:r w:rsidRPr="00BF5323">
        <w:rPr>
          <w:rFonts w:eastAsia="Times New Roman"/>
          <w:b/>
          <w:sz w:val="20"/>
          <w:szCs w:val="20"/>
        </w:rPr>
        <w:t>EQUIPMENT</w:t>
      </w:r>
    </w:p>
    <w:p w:rsidR="00BF5323" w:rsidRPr="00BF5323" w:rsidRDefault="00BF5323" w:rsidP="00AD56F4">
      <w:pPr>
        <w:numPr>
          <w:ilvl w:val="0"/>
          <w:numId w:val="41"/>
        </w:numPr>
        <w:spacing w:after="120" w:line="240" w:lineRule="auto"/>
        <w:rPr>
          <w:rFonts w:eastAsia="Times New Roman"/>
          <w:sz w:val="20"/>
          <w:szCs w:val="20"/>
        </w:rPr>
      </w:pPr>
      <w:r w:rsidRPr="00BF5323">
        <w:rPr>
          <w:rFonts w:eastAsia="Times New Roman"/>
          <w:sz w:val="20"/>
          <w:szCs w:val="20"/>
          <w:u w:val="single"/>
        </w:rPr>
        <w:t xml:space="preserve">General: </w:t>
      </w:r>
      <w:r w:rsidRPr="00BF5323">
        <w:rPr>
          <w:rFonts w:eastAsia="Times New Roman"/>
          <w:sz w:val="20"/>
          <w:szCs w:val="20"/>
        </w:rPr>
        <w:t>The gate shall have the ability to provide controlled passage in a single direction.</w:t>
      </w:r>
    </w:p>
    <w:p w:rsidR="00BF5323" w:rsidRPr="00BF5323" w:rsidRDefault="00AD56F4" w:rsidP="00BF5323">
      <w:pPr>
        <w:numPr>
          <w:ilvl w:val="0"/>
          <w:numId w:val="41"/>
        </w:numPr>
        <w:spacing w:after="0" w:line="240" w:lineRule="auto"/>
        <w:rPr>
          <w:rFonts w:eastAsia="Times New Roman"/>
          <w:sz w:val="20"/>
          <w:szCs w:val="20"/>
          <w:u w:val="single"/>
        </w:rPr>
      </w:pPr>
      <w:r>
        <w:rPr>
          <w:rFonts w:eastAsia="Times New Roman"/>
          <w:sz w:val="20"/>
          <w:szCs w:val="20"/>
          <w:u w:val="single"/>
        </w:rPr>
        <w:t>Electric Lock Control</w:t>
      </w:r>
      <w:r w:rsidR="00BF5323" w:rsidRPr="00BF5323">
        <w:rPr>
          <w:rFonts w:eastAsia="Times New Roman"/>
          <w:sz w:val="20"/>
          <w:szCs w:val="20"/>
          <w:u w:val="single"/>
        </w:rPr>
        <w:t xml:space="preserve">: </w:t>
      </w:r>
    </w:p>
    <w:p w:rsidR="00BF5323" w:rsidRPr="005C63BB" w:rsidRDefault="00AD56F4" w:rsidP="00BF5323">
      <w:pPr>
        <w:numPr>
          <w:ilvl w:val="0"/>
          <w:numId w:val="42"/>
        </w:numPr>
        <w:autoSpaceDE w:val="0"/>
        <w:autoSpaceDN w:val="0"/>
        <w:adjustRightInd w:val="0"/>
        <w:spacing w:after="0" w:line="240" w:lineRule="auto"/>
        <w:rPr>
          <w:rFonts w:eastAsia="Times New Roman"/>
          <w:sz w:val="20"/>
          <w:szCs w:val="20"/>
        </w:rPr>
      </w:pPr>
      <w:r w:rsidRPr="00AD56F4">
        <w:rPr>
          <w:rFonts w:eastAsia="Times New Roman" w:cs="Arial"/>
          <w:sz w:val="20"/>
          <w:szCs w:val="20"/>
          <w:u w:val="single"/>
        </w:rPr>
        <w:t>Magnetic Lock</w:t>
      </w:r>
      <w:r>
        <w:rPr>
          <w:rFonts w:eastAsia="Times New Roman" w:cs="Arial"/>
          <w:sz w:val="20"/>
          <w:szCs w:val="20"/>
        </w:rPr>
        <w:t>: As long as power (low voltage 12VDC) is supplied, the latch plate (mounted o</w:t>
      </w:r>
      <w:r w:rsidR="00327E5E">
        <w:rPr>
          <w:rFonts w:eastAsia="Times New Roman" w:cs="Arial"/>
          <w:sz w:val="20"/>
          <w:szCs w:val="20"/>
        </w:rPr>
        <w:t>n</w:t>
      </w:r>
      <w:r>
        <w:rPr>
          <w:rFonts w:eastAsia="Times New Roman" w:cs="Arial"/>
          <w:sz w:val="20"/>
          <w:szCs w:val="20"/>
        </w:rPr>
        <w:t xml:space="preserve"> the gate) is held against the magnetic lock (mounted on the gate frame) When power is interrupted, the latch plate releases from the magnetic lock</w:t>
      </w:r>
      <w:r w:rsidR="005C63BB">
        <w:rPr>
          <w:rFonts w:eastAsia="Times New Roman" w:cs="Arial"/>
          <w:sz w:val="20"/>
          <w:szCs w:val="20"/>
        </w:rPr>
        <w:t xml:space="preserve">, allowing the gate to be opened. </w:t>
      </w:r>
    </w:p>
    <w:p w:rsidR="005C63BB" w:rsidRDefault="005C63BB" w:rsidP="005C63BB">
      <w:pPr>
        <w:autoSpaceDE w:val="0"/>
        <w:autoSpaceDN w:val="0"/>
        <w:adjustRightInd w:val="0"/>
        <w:spacing w:after="0" w:line="240" w:lineRule="auto"/>
        <w:ind w:left="1080"/>
        <w:rPr>
          <w:rFonts w:eastAsia="Times New Roman"/>
          <w:sz w:val="20"/>
          <w:szCs w:val="20"/>
        </w:rPr>
      </w:pPr>
    </w:p>
    <w:p w:rsidR="00500BF3" w:rsidRPr="002850C1" w:rsidRDefault="00500BF3" w:rsidP="00500BF3">
      <w:pPr>
        <w:numPr>
          <w:ilvl w:val="1"/>
          <w:numId w:val="16"/>
        </w:numPr>
        <w:spacing w:after="0" w:line="240" w:lineRule="auto"/>
        <w:rPr>
          <w:rFonts w:eastAsia="Times New Roman"/>
          <w:b/>
          <w:sz w:val="20"/>
          <w:szCs w:val="20"/>
        </w:rPr>
      </w:pPr>
      <w:r w:rsidRPr="002850C1">
        <w:rPr>
          <w:rFonts w:eastAsia="Times New Roman"/>
          <w:b/>
          <w:sz w:val="20"/>
          <w:szCs w:val="20"/>
        </w:rPr>
        <w:t>SECURITY EQUIPMENT</w:t>
      </w:r>
      <w:bookmarkStart w:id="0" w:name="_GoBack"/>
      <w:bookmarkEnd w:id="0"/>
    </w:p>
    <w:p w:rsidR="00500BF3" w:rsidRPr="002850C1" w:rsidRDefault="00500BF3" w:rsidP="00500BF3">
      <w:pPr>
        <w:numPr>
          <w:ilvl w:val="0"/>
          <w:numId w:val="18"/>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Card readers or activation devices are to be installed in the field by installer on </w:t>
      </w:r>
      <w:r>
        <w:rPr>
          <w:rFonts w:eastAsia="Times New Roman"/>
          <w:sz w:val="20"/>
          <w:szCs w:val="20"/>
        </w:rPr>
        <w:t>the card reader attachment assembly provided as an option by the manufacturer</w:t>
      </w:r>
      <w:r w:rsidRPr="002850C1">
        <w:rPr>
          <w:rFonts w:eastAsia="Times New Roman"/>
          <w:sz w:val="20"/>
          <w:szCs w:val="20"/>
        </w:rPr>
        <w:t>. Readers and installation are not part of the product.</w:t>
      </w:r>
    </w:p>
    <w:p w:rsidR="00500BF3" w:rsidRDefault="00500BF3" w:rsidP="005C63BB">
      <w:pPr>
        <w:autoSpaceDE w:val="0"/>
        <w:autoSpaceDN w:val="0"/>
        <w:adjustRightInd w:val="0"/>
        <w:spacing w:after="0" w:line="240" w:lineRule="auto"/>
        <w:ind w:left="1080"/>
        <w:rPr>
          <w:rFonts w:eastAsia="Times New Roman"/>
          <w:sz w:val="20"/>
          <w:szCs w:val="20"/>
        </w:rPr>
      </w:pPr>
    </w:p>
    <w:p w:rsidR="004237D5" w:rsidRDefault="004237D5" w:rsidP="004237D5">
      <w:pPr>
        <w:numPr>
          <w:ilvl w:val="1"/>
          <w:numId w:val="16"/>
        </w:numPr>
        <w:spacing w:after="0" w:line="240" w:lineRule="auto"/>
        <w:rPr>
          <w:rFonts w:eastAsia="Times New Roman"/>
          <w:b/>
          <w:sz w:val="20"/>
          <w:szCs w:val="20"/>
        </w:rPr>
      </w:pPr>
      <w:r>
        <w:rPr>
          <w:rFonts w:eastAsia="Times New Roman"/>
          <w:b/>
          <w:sz w:val="20"/>
          <w:szCs w:val="20"/>
        </w:rPr>
        <w:t>FINISHES</w:t>
      </w:r>
    </w:p>
    <w:p w:rsidR="004237D5" w:rsidRDefault="004237D5" w:rsidP="004237D5">
      <w:pPr>
        <w:pStyle w:val="ListParagraph"/>
        <w:spacing w:after="0"/>
        <w:rPr>
          <w:rFonts w:eastAsia="Times New Roman"/>
          <w:b/>
          <w:sz w:val="20"/>
          <w:szCs w:val="20"/>
        </w:rPr>
      </w:pPr>
    </w:p>
    <w:p w:rsidR="004237D5" w:rsidRPr="00741D31" w:rsidRDefault="00741D31" w:rsidP="004237D5">
      <w:pPr>
        <w:spacing w:after="0" w:line="240" w:lineRule="auto"/>
        <w:rPr>
          <w:rFonts w:eastAsia="Times New Roman"/>
          <w:i/>
          <w:color w:val="307EBE"/>
          <w:sz w:val="20"/>
          <w:szCs w:val="20"/>
        </w:rPr>
      </w:pPr>
      <w:r>
        <w:rPr>
          <w:rFonts w:eastAsia="Times New Roman"/>
          <w:i/>
          <w:color w:val="307EBE"/>
          <w:sz w:val="20"/>
          <w:szCs w:val="20"/>
        </w:rPr>
        <w:t>(</w:t>
      </w:r>
      <w:r w:rsidR="004237D5" w:rsidRPr="00741D31">
        <w:rPr>
          <w:rFonts w:eastAsia="Times New Roman"/>
          <w:i/>
          <w:color w:val="307EBE"/>
          <w:sz w:val="20"/>
          <w:szCs w:val="20"/>
        </w:rPr>
        <w:t>NOTE TO SPECIFIER</w:t>
      </w:r>
      <w:r>
        <w:rPr>
          <w:rFonts w:eastAsia="Times New Roman"/>
          <w:i/>
          <w:color w:val="307EBE"/>
          <w:sz w:val="20"/>
          <w:szCs w:val="20"/>
        </w:rPr>
        <w:t>: Select the finish desired)</w:t>
      </w:r>
    </w:p>
    <w:p w:rsidR="004237D5" w:rsidRDefault="004237D5" w:rsidP="004237D5">
      <w:pPr>
        <w:pStyle w:val="ListParagraph"/>
        <w:spacing w:after="0"/>
        <w:rPr>
          <w:rFonts w:eastAsia="Times New Roman"/>
          <w:b/>
          <w:sz w:val="20"/>
          <w:szCs w:val="20"/>
        </w:rPr>
      </w:pPr>
    </w:p>
    <w:p w:rsidR="004237D5" w:rsidRPr="00BF1D76" w:rsidRDefault="004237D5" w:rsidP="004237D5">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4237D5" w:rsidRDefault="004237D5" w:rsidP="004237D5">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 xml:space="preserve">Powder Coat over </w:t>
      </w:r>
      <w:r>
        <w:rPr>
          <w:rFonts w:eastAsia="Times New Roman" w:cs="Arial"/>
          <w:sz w:val="20"/>
          <w:szCs w:val="20"/>
          <w:u w:val="single"/>
        </w:rPr>
        <w:t>Stainless Steel</w:t>
      </w:r>
      <w:r>
        <w:rPr>
          <w:rFonts w:eastAsia="Times New Roman" w:cs="Arial"/>
          <w:sz w:val="20"/>
          <w:szCs w:val="20"/>
        </w:rPr>
        <w:t>: The gate is fabricated from #304 stainless steel</w:t>
      </w:r>
      <w:r w:rsidRPr="00BF1D76">
        <w:rPr>
          <w:rFonts w:eastAsia="Times New Roman" w:cs="Arial"/>
          <w:sz w:val="20"/>
          <w:szCs w:val="20"/>
        </w:rPr>
        <w:t xml:space="preserve">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4237D5" w:rsidRDefault="004237D5" w:rsidP="004237D5">
      <w:pPr>
        <w:pStyle w:val="ListParagraph"/>
        <w:spacing w:after="0"/>
        <w:rPr>
          <w:rFonts w:eastAsia="Times New Roman"/>
          <w:b/>
          <w:sz w:val="20"/>
          <w:szCs w:val="20"/>
        </w:rPr>
      </w:pPr>
    </w:p>
    <w:p w:rsidR="004237D5" w:rsidRDefault="004237D5" w:rsidP="004237D5">
      <w:pPr>
        <w:numPr>
          <w:ilvl w:val="1"/>
          <w:numId w:val="16"/>
        </w:numPr>
        <w:spacing w:after="0" w:line="240" w:lineRule="auto"/>
        <w:rPr>
          <w:rFonts w:eastAsia="Times New Roman"/>
          <w:b/>
          <w:sz w:val="20"/>
          <w:szCs w:val="20"/>
        </w:rPr>
      </w:pPr>
      <w:r>
        <w:rPr>
          <w:rFonts w:eastAsia="Times New Roman"/>
          <w:b/>
          <w:sz w:val="20"/>
          <w:szCs w:val="20"/>
        </w:rPr>
        <w:t>OPTIONS</w:t>
      </w:r>
    </w:p>
    <w:p w:rsidR="004237D5" w:rsidRPr="004237D5" w:rsidRDefault="004237D5" w:rsidP="004237D5">
      <w:pPr>
        <w:keepNext/>
        <w:numPr>
          <w:ilvl w:val="0"/>
          <w:numId w:val="45"/>
        </w:numPr>
        <w:spacing w:after="120" w:line="240" w:lineRule="auto"/>
        <w:ind w:left="547"/>
        <w:rPr>
          <w:rFonts w:eastAsia="Times New Roman"/>
          <w:sz w:val="20"/>
          <w:szCs w:val="20"/>
        </w:rPr>
      </w:pPr>
      <w:r>
        <w:rPr>
          <w:rFonts w:eastAsia="Times New Roman" w:cs="Arial"/>
          <w:sz w:val="20"/>
          <w:szCs w:val="20"/>
          <w:u w:val="single"/>
        </w:rPr>
        <w:t>Railing Outlets</w:t>
      </w:r>
      <w:r w:rsidRPr="003C4C60">
        <w:rPr>
          <w:rFonts w:eastAsia="Times New Roman" w:cs="Arial"/>
          <w:sz w:val="20"/>
          <w:szCs w:val="20"/>
        </w:rPr>
        <w:t xml:space="preserve">: </w:t>
      </w:r>
      <w:r>
        <w:rPr>
          <w:rFonts w:eastAsia="Times New Roman" w:cs="Arial"/>
          <w:sz w:val="20"/>
          <w:szCs w:val="20"/>
        </w:rPr>
        <w:t>Railing outlets can be added to the hinge post and/or latch post to accept Alvarado 1.75”OD railing.</w:t>
      </w:r>
    </w:p>
    <w:p w:rsidR="00C82DC9" w:rsidRPr="002850C1" w:rsidRDefault="004237D5" w:rsidP="00C82DC9">
      <w:pPr>
        <w:numPr>
          <w:ilvl w:val="0"/>
          <w:numId w:val="45"/>
        </w:numPr>
        <w:spacing w:after="120" w:line="240" w:lineRule="auto"/>
        <w:ind w:left="547"/>
        <w:rPr>
          <w:rFonts w:eastAsia="Times New Roman"/>
          <w:sz w:val="20"/>
          <w:szCs w:val="20"/>
        </w:rPr>
      </w:pPr>
      <w:r>
        <w:rPr>
          <w:rFonts w:eastAsia="Times New Roman" w:cs="Arial"/>
          <w:sz w:val="20"/>
          <w:szCs w:val="20"/>
        </w:rPr>
        <w:t xml:space="preserve"> </w:t>
      </w:r>
      <w:r w:rsidR="00C82DC9" w:rsidRPr="002850C1">
        <w:rPr>
          <w:rFonts w:eastAsia="Times New Roman"/>
          <w:sz w:val="20"/>
          <w:szCs w:val="20"/>
          <w:u w:val="single"/>
        </w:rPr>
        <w:t>Magnetic Door Status Switch</w:t>
      </w:r>
      <w:r w:rsidR="00C82DC9" w:rsidRPr="002850C1">
        <w:rPr>
          <w:rFonts w:eastAsia="Times New Roman"/>
          <w:sz w:val="20"/>
          <w:szCs w:val="20"/>
        </w:rPr>
        <w:t xml:space="preserve">: </w:t>
      </w:r>
      <w:r w:rsidR="00C82DC9">
        <w:rPr>
          <w:rFonts w:eastAsia="Times New Roman"/>
          <w:sz w:val="20"/>
          <w:szCs w:val="20"/>
        </w:rPr>
        <w:t>When the gate opens, magnetic contacts are broken which signals that the gate is open.</w:t>
      </w:r>
    </w:p>
    <w:p w:rsidR="00C82DC9" w:rsidRDefault="00C82DC9" w:rsidP="00C82DC9">
      <w:pPr>
        <w:numPr>
          <w:ilvl w:val="0"/>
          <w:numId w:val="45"/>
        </w:numPr>
        <w:spacing w:after="120" w:line="240" w:lineRule="auto"/>
        <w:ind w:left="547"/>
        <w:rPr>
          <w:rFonts w:eastAsia="Times New Roman"/>
          <w:sz w:val="20"/>
          <w:szCs w:val="20"/>
        </w:rPr>
      </w:pPr>
      <w:r w:rsidRPr="002850C1">
        <w:rPr>
          <w:rFonts w:eastAsia="Times New Roman"/>
          <w:sz w:val="20"/>
          <w:szCs w:val="20"/>
          <w:u w:val="single"/>
        </w:rPr>
        <w:t xml:space="preserve">Card Reader </w:t>
      </w:r>
      <w:r>
        <w:rPr>
          <w:rFonts w:eastAsia="Times New Roman"/>
          <w:sz w:val="20"/>
          <w:szCs w:val="20"/>
          <w:u w:val="single"/>
        </w:rPr>
        <w:t>Plate</w:t>
      </w:r>
      <w:r w:rsidRPr="002850C1">
        <w:rPr>
          <w:rFonts w:eastAsia="Times New Roman"/>
          <w:sz w:val="20"/>
          <w:szCs w:val="20"/>
        </w:rPr>
        <w:t xml:space="preserve">: </w:t>
      </w:r>
      <w:r>
        <w:rPr>
          <w:rFonts w:eastAsia="Times New Roman"/>
          <w:sz w:val="20"/>
          <w:szCs w:val="20"/>
        </w:rPr>
        <w:t xml:space="preserve">An adapter arm and card reader plate is added to one or both sides of the gate. </w:t>
      </w:r>
    </w:p>
    <w:p w:rsidR="00C82DC9" w:rsidRDefault="00C82DC9" w:rsidP="00C82DC9">
      <w:pPr>
        <w:numPr>
          <w:ilvl w:val="0"/>
          <w:numId w:val="45"/>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220 VAC, 50-60 Hz power supply is substituted for the standard 110VAC power supply. </w:t>
      </w:r>
    </w:p>
    <w:p w:rsidR="00C82DC9" w:rsidRPr="002850C1" w:rsidRDefault="00C82DC9" w:rsidP="00C82DC9">
      <w:pPr>
        <w:numPr>
          <w:ilvl w:val="0"/>
          <w:numId w:val="45"/>
        </w:numPr>
        <w:spacing w:after="120" w:line="240" w:lineRule="auto"/>
        <w:ind w:left="547"/>
        <w:rPr>
          <w:rFonts w:eastAsia="Times New Roman"/>
          <w:sz w:val="20"/>
          <w:szCs w:val="20"/>
        </w:rPr>
      </w:pPr>
      <w:r w:rsidRPr="00D93257">
        <w:rPr>
          <w:rFonts w:eastAsia="Times New Roman"/>
          <w:sz w:val="20"/>
          <w:szCs w:val="20"/>
          <w:u w:val="single"/>
        </w:rPr>
        <w:t>Push Button Assembly</w:t>
      </w:r>
      <w:r>
        <w:rPr>
          <w:rFonts w:eastAsia="Times New Roman"/>
          <w:sz w:val="20"/>
          <w:szCs w:val="20"/>
        </w:rPr>
        <w:t xml:space="preserve">: A 3.15” square stainless steel assembly containing a push button switch.  </w:t>
      </w:r>
    </w:p>
    <w:p w:rsidR="004237D5" w:rsidRPr="00C73980" w:rsidRDefault="00C82DC9" w:rsidP="00F25331">
      <w:pPr>
        <w:keepNext/>
        <w:numPr>
          <w:ilvl w:val="0"/>
          <w:numId w:val="45"/>
        </w:numPr>
        <w:spacing w:after="0" w:line="240" w:lineRule="auto"/>
        <w:rPr>
          <w:rFonts w:eastAsia="Times New Roman"/>
          <w:sz w:val="20"/>
          <w:szCs w:val="20"/>
        </w:rPr>
      </w:pPr>
      <w:r w:rsidRPr="00C82DC9">
        <w:rPr>
          <w:rFonts w:eastAsia="Times New Roman"/>
          <w:sz w:val="20"/>
          <w:szCs w:val="20"/>
          <w:u w:val="single"/>
        </w:rPr>
        <w:t>Push Bar</w:t>
      </w:r>
      <w:r>
        <w:rPr>
          <w:rFonts w:eastAsia="Times New Roman"/>
          <w:sz w:val="20"/>
          <w:szCs w:val="20"/>
        </w:rPr>
        <w:t xml:space="preserve">: A switch activated push bar is wired into the magnetic lock and when depressed, unlocks the magnetic lock. </w:t>
      </w:r>
    </w:p>
    <w:p w:rsidR="004237D5" w:rsidRPr="00BF5323" w:rsidRDefault="004237D5" w:rsidP="005C63BB">
      <w:pPr>
        <w:autoSpaceDE w:val="0"/>
        <w:autoSpaceDN w:val="0"/>
        <w:adjustRightInd w:val="0"/>
        <w:spacing w:after="0" w:line="240" w:lineRule="auto"/>
        <w:ind w:left="1080"/>
        <w:rPr>
          <w:rFonts w:eastAsia="Times New Roman"/>
          <w:sz w:val="20"/>
          <w:szCs w:val="20"/>
        </w:rPr>
      </w:pPr>
    </w:p>
    <w:p w:rsidR="00F25331" w:rsidRPr="002850C1" w:rsidRDefault="00F25331" w:rsidP="00F25331">
      <w:pPr>
        <w:numPr>
          <w:ilvl w:val="1"/>
          <w:numId w:val="16"/>
        </w:numPr>
        <w:spacing w:after="0" w:line="240" w:lineRule="auto"/>
        <w:rPr>
          <w:rFonts w:eastAsia="Times New Roman"/>
          <w:b/>
          <w:sz w:val="20"/>
          <w:szCs w:val="20"/>
        </w:rPr>
      </w:pPr>
      <w:r w:rsidRPr="002850C1">
        <w:rPr>
          <w:rFonts w:eastAsia="Times New Roman"/>
          <w:b/>
          <w:sz w:val="20"/>
          <w:szCs w:val="20"/>
        </w:rPr>
        <w:t xml:space="preserve">FACTORY TESTING </w:t>
      </w:r>
    </w:p>
    <w:p w:rsidR="00F25331" w:rsidRPr="002850C1" w:rsidRDefault="00F25331" w:rsidP="00F25331">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F25331" w:rsidRPr="002850C1" w:rsidRDefault="00F25331" w:rsidP="00F25331">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F25331" w:rsidRPr="002850C1" w:rsidRDefault="00F25331" w:rsidP="00F25331">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F25331" w:rsidRPr="002850C1" w:rsidRDefault="00F25331" w:rsidP="00F25331">
      <w:pPr>
        <w:numPr>
          <w:ilvl w:val="1"/>
          <w:numId w:val="24"/>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BF5323" w:rsidRPr="00BF5323" w:rsidRDefault="00BF5323" w:rsidP="00BF5323">
      <w:pPr>
        <w:spacing w:after="0" w:line="240" w:lineRule="auto"/>
        <w:ind w:left="540"/>
        <w:rPr>
          <w:rFonts w:eastAsia="Times New Roman"/>
          <w:sz w:val="20"/>
          <w:szCs w:val="20"/>
        </w:rPr>
      </w:pPr>
    </w:p>
    <w:p w:rsidR="00BF5323" w:rsidRPr="00BF5323" w:rsidRDefault="00BF5323" w:rsidP="00BF5323">
      <w:pPr>
        <w:keepNext/>
        <w:spacing w:after="0" w:line="240" w:lineRule="auto"/>
        <w:outlineLvl w:val="4"/>
        <w:rPr>
          <w:rFonts w:eastAsia="Times New Roman"/>
          <w:b/>
          <w:sz w:val="20"/>
          <w:szCs w:val="20"/>
          <w:u w:val="single"/>
        </w:rPr>
      </w:pPr>
      <w:r w:rsidRPr="00BF5323">
        <w:rPr>
          <w:rFonts w:eastAsia="Times New Roman"/>
          <w:b/>
          <w:sz w:val="20"/>
          <w:szCs w:val="20"/>
          <w:u w:val="single"/>
        </w:rPr>
        <w:t>PART III – EXECUTION</w:t>
      </w:r>
    </w:p>
    <w:p w:rsidR="00BF5323" w:rsidRPr="00BF5323" w:rsidRDefault="00BF5323" w:rsidP="00BF5323">
      <w:pPr>
        <w:spacing w:after="0" w:line="240" w:lineRule="auto"/>
        <w:rPr>
          <w:rFonts w:eastAsia="Times New Roman"/>
          <w:sz w:val="20"/>
          <w:szCs w:val="20"/>
        </w:rPr>
      </w:pPr>
    </w:p>
    <w:p w:rsidR="00BF5323" w:rsidRPr="00BF5323" w:rsidRDefault="00BF5323" w:rsidP="00BF5323">
      <w:pPr>
        <w:numPr>
          <w:ilvl w:val="1"/>
          <w:numId w:val="19"/>
        </w:numPr>
        <w:spacing w:after="0" w:line="240" w:lineRule="auto"/>
        <w:rPr>
          <w:rFonts w:eastAsia="Times New Roman"/>
          <w:b/>
          <w:sz w:val="20"/>
          <w:szCs w:val="20"/>
        </w:rPr>
      </w:pPr>
      <w:r w:rsidRPr="00BF5323">
        <w:rPr>
          <w:rFonts w:eastAsia="Times New Roman"/>
          <w:b/>
          <w:sz w:val="20"/>
          <w:szCs w:val="20"/>
        </w:rPr>
        <w:t>SITE EXAMINATION</w:t>
      </w:r>
    </w:p>
    <w:p w:rsidR="00F25331" w:rsidRPr="00E83025" w:rsidRDefault="00F25331" w:rsidP="00F25331">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lastRenderedPageBreak/>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25331" w:rsidRDefault="00F25331" w:rsidP="00F25331">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F25331" w:rsidRPr="00BF1D76" w:rsidRDefault="00F25331" w:rsidP="00F25331">
      <w:pPr>
        <w:numPr>
          <w:ilvl w:val="0"/>
          <w:numId w:val="23"/>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F25331" w:rsidRPr="00BF1D76" w:rsidRDefault="00F25331" w:rsidP="00F25331">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F25331" w:rsidRPr="00BF1D76" w:rsidRDefault="00F25331" w:rsidP="00F25331">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F25331" w:rsidRPr="00BF1D76" w:rsidRDefault="00F25331" w:rsidP="00F25331">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25331" w:rsidRPr="00C73980" w:rsidRDefault="00F25331" w:rsidP="00F25331">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F25331" w:rsidRDefault="00F25331" w:rsidP="00F25331">
      <w:pPr>
        <w:spacing w:after="0" w:line="240" w:lineRule="auto"/>
        <w:ind w:left="540"/>
        <w:jc w:val="center"/>
        <w:rPr>
          <w:rFonts w:eastAsia="Times New Roman"/>
          <w:b/>
          <w:sz w:val="20"/>
          <w:szCs w:val="20"/>
        </w:rPr>
      </w:pPr>
    </w:p>
    <w:p w:rsidR="00F25331" w:rsidRPr="00ED2BBE" w:rsidRDefault="00F25331" w:rsidP="00F25331">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sectPr w:rsidR="00F25331" w:rsidRPr="00ED2BBE"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A3A" w:rsidRDefault="00EC0A3A" w:rsidP="00E350F1">
      <w:pPr>
        <w:spacing w:after="0" w:line="240" w:lineRule="auto"/>
      </w:pPr>
      <w:r>
        <w:separator/>
      </w:r>
    </w:p>
  </w:endnote>
  <w:endnote w:type="continuationSeparator" w:id="0">
    <w:p w:rsidR="00EC0A3A" w:rsidRDefault="00EC0A3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E61FCB" w:rsidP="008F041B">
          <w:pPr>
            <w:pStyle w:val="Footer"/>
            <w:contextualSpacing/>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7025DE" w:rsidP="00E4578C">
          <w:pPr>
            <w:pStyle w:val="Footer"/>
            <w:contextualSpacing/>
            <w:rPr>
              <w:rFonts w:cs="Arial"/>
              <w:color w:val="636669"/>
              <w:sz w:val="18"/>
              <w:szCs w:val="18"/>
            </w:rPr>
          </w:pPr>
          <w:r>
            <w:rPr>
              <w:rFonts w:cs="Arial"/>
              <w:color w:val="636669"/>
              <w:sz w:val="18"/>
              <w:szCs w:val="18"/>
            </w:rPr>
            <w:t>CSI3840R1-1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327E5E">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E61FCB" w:rsidP="008F041B">
          <w:pPr>
            <w:pStyle w:val="Footer"/>
            <w:spacing w:before="100" w:beforeAutospacing="1" w:after="100" w:afterAutospacing="1"/>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7025DE" w:rsidP="00A526C4">
          <w:pPr>
            <w:pStyle w:val="Footer"/>
            <w:spacing w:before="100" w:beforeAutospacing="1" w:after="100" w:afterAutospacing="1"/>
            <w:rPr>
              <w:rFonts w:cs="Arial"/>
              <w:color w:val="636669"/>
              <w:sz w:val="18"/>
              <w:szCs w:val="18"/>
            </w:rPr>
          </w:pPr>
          <w:r>
            <w:rPr>
              <w:rFonts w:cs="Arial"/>
              <w:color w:val="636669"/>
              <w:sz w:val="18"/>
              <w:szCs w:val="18"/>
            </w:rPr>
            <w:t>CSI3840R1-1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327E5E">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A3A" w:rsidRDefault="00EC0A3A" w:rsidP="00E350F1">
      <w:pPr>
        <w:spacing w:after="0" w:line="240" w:lineRule="auto"/>
      </w:pPr>
      <w:r>
        <w:separator/>
      </w:r>
    </w:p>
  </w:footnote>
  <w:footnote w:type="continuationSeparator" w:id="0">
    <w:p w:rsidR="00EC0A3A" w:rsidRDefault="00EC0A3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2377493A" wp14:editId="3240EDD1">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1">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28"/>
  </w:num>
  <w:num w:numId="14">
    <w:abstractNumId w:val="18"/>
  </w:num>
  <w:num w:numId="15">
    <w:abstractNumId w:val="15"/>
  </w:num>
  <w:num w:numId="16">
    <w:abstractNumId w:val="30"/>
  </w:num>
  <w:num w:numId="17">
    <w:abstractNumId w:val="12"/>
  </w:num>
  <w:num w:numId="18">
    <w:abstractNumId w:val="0"/>
  </w:num>
  <w:num w:numId="19">
    <w:abstractNumId w:val="26"/>
  </w:num>
  <w:num w:numId="20">
    <w:abstractNumId w:val="24"/>
  </w:num>
  <w:num w:numId="21">
    <w:abstractNumId w:val="1"/>
  </w:num>
  <w:num w:numId="22">
    <w:abstractNumId w:val="29"/>
  </w:num>
  <w:num w:numId="23">
    <w:abstractNumId w:val="23"/>
  </w:num>
  <w:num w:numId="24">
    <w:abstractNumId w:val="27"/>
  </w:num>
  <w:num w:numId="25">
    <w:abstractNumId w:val="34"/>
  </w:num>
  <w:num w:numId="26">
    <w:abstractNumId w:val="5"/>
  </w:num>
  <w:num w:numId="27">
    <w:abstractNumId w:val="8"/>
  </w:num>
  <w:num w:numId="28">
    <w:abstractNumId w:val="32"/>
  </w:num>
  <w:num w:numId="29">
    <w:abstractNumId w:val="7"/>
  </w:num>
  <w:num w:numId="30">
    <w:abstractNumId w:val="9"/>
  </w:num>
  <w:num w:numId="31">
    <w:abstractNumId w:val="22"/>
  </w:num>
  <w:num w:numId="32">
    <w:abstractNumId w:val="19"/>
  </w:num>
  <w:num w:numId="33">
    <w:abstractNumId w:val="16"/>
  </w:num>
  <w:num w:numId="34">
    <w:abstractNumId w:val="10"/>
  </w:num>
  <w:num w:numId="35">
    <w:abstractNumId w:val="14"/>
  </w:num>
  <w:num w:numId="36">
    <w:abstractNumId w:val="13"/>
  </w:num>
  <w:num w:numId="37">
    <w:abstractNumId w:val="21"/>
  </w:num>
  <w:num w:numId="38">
    <w:abstractNumId w:val="20"/>
  </w:num>
  <w:num w:numId="39">
    <w:abstractNumId w:val="4"/>
  </w:num>
  <w:num w:numId="40">
    <w:abstractNumId w:val="2"/>
  </w:num>
  <w:num w:numId="41">
    <w:abstractNumId w:val="11"/>
  </w:num>
  <w:num w:numId="42">
    <w:abstractNumId w:val="17"/>
  </w:num>
  <w:num w:numId="43">
    <w:abstractNumId w:val="3"/>
  </w:num>
  <w:num w:numId="44">
    <w:abstractNumId w:val="31"/>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81393"/>
    <w:rsid w:val="00271BF4"/>
    <w:rsid w:val="00327E5E"/>
    <w:rsid w:val="003A5186"/>
    <w:rsid w:val="003F70AE"/>
    <w:rsid w:val="00406FEE"/>
    <w:rsid w:val="004237D5"/>
    <w:rsid w:val="004725A2"/>
    <w:rsid w:val="00497539"/>
    <w:rsid w:val="004C6C05"/>
    <w:rsid w:val="004E5B7B"/>
    <w:rsid w:val="00500BF3"/>
    <w:rsid w:val="00543C07"/>
    <w:rsid w:val="005B2357"/>
    <w:rsid w:val="005B2D48"/>
    <w:rsid w:val="005C63BB"/>
    <w:rsid w:val="005F52DA"/>
    <w:rsid w:val="006D65F6"/>
    <w:rsid w:val="006F2C59"/>
    <w:rsid w:val="007025DE"/>
    <w:rsid w:val="00741D31"/>
    <w:rsid w:val="00777DF4"/>
    <w:rsid w:val="007D4CE3"/>
    <w:rsid w:val="00834CBC"/>
    <w:rsid w:val="00871E4D"/>
    <w:rsid w:val="0088364B"/>
    <w:rsid w:val="008F041B"/>
    <w:rsid w:val="00902981"/>
    <w:rsid w:val="00A17564"/>
    <w:rsid w:val="00A526C4"/>
    <w:rsid w:val="00AD56F4"/>
    <w:rsid w:val="00B5137D"/>
    <w:rsid w:val="00BF5323"/>
    <w:rsid w:val="00C02519"/>
    <w:rsid w:val="00C35016"/>
    <w:rsid w:val="00C73980"/>
    <w:rsid w:val="00C82DC9"/>
    <w:rsid w:val="00CD4ABB"/>
    <w:rsid w:val="00D5132C"/>
    <w:rsid w:val="00D62915"/>
    <w:rsid w:val="00D81ADE"/>
    <w:rsid w:val="00D87C9A"/>
    <w:rsid w:val="00DE28DC"/>
    <w:rsid w:val="00E22532"/>
    <w:rsid w:val="00E350F1"/>
    <w:rsid w:val="00E4578C"/>
    <w:rsid w:val="00E61FCB"/>
    <w:rsid w:val="00EC0A3A"/>
    <w:rsid w:val="00F25331"/>
    <w:rsid w:val="00F71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cp:lastPrinted>2016-03-30T22:48:00Z</cp:lastPrinted>
  <dcterms:created xsi:type="dcterms:W3CDTF">2016-03-30T23:15:00Z</dcterms:created>
  <dcterms:modified xsi:type="dcterms:W3CDTF">2016-03-30T23:15:00Z</dcterms:modified>
</cp:coreProperties>
</file>